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659" w14:textId="77777777" w:rsidR="00540261" w:rsidRDefault="00540261" w:rsidP="00540261">
      <w:pPr>
        <w:spacing w:line="240" w:lineRule="auto"/>
        <w:jc w:val="both"/>
        <w:rPr>
          <w:rFonts w:ascii="Arial" w:eastAsia="Times New Roman" w:hAnsi="Arial" w:cs="Arial"/>
          <w:color w:val="333333"/>
          <w:sz w:val="56"/>
          <w:szCs w:val="56"/>
          <w:lang w:eastAsia="es-MX"/>
        </w:rPr>
      </w:pPr>
    </w:p>
    <w:p w14:paraId="44D342BA" w14:textId="6D316060" w:rsidR="0050197F" w:rsidRPr="001431B7" w:rsidRDefault="0050197F" w:rsidP="001431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  <w:r w:rsidRPr="001431B7">
        <w:rPr>
          <w:rFonts w:ascii="Arial" w:eastAsia="Times New Roman" w:hAnsi="Arial" w:cs="Arial"/>
          <w:b/>
          <w:sz w:val="28"/>
          <w:szCs w:val="28"/>
          <w:lang w:eastAsia="es-MX"/>
        </w:rPr>
        <w:t>COMUNICADO DE PRENSA</w:t>
      </w:r>
    </w:p>
    <w:p w14:paraId="76986D5F" w14:textId="69453E35" w:rsidR="001431B7" w:rsidRPr="006D5859" w:rsidRDefault="005402D7" w:rsidP="00143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 </w:t>
      </w:r>
      <w:r w:rsidRPr="006D585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EBC DESTACA </w:t>
      </w:r>
      <w:r w:rsidR="006D585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EXPECTATIVAS </w:t>
      </w:r>
      <w:r w:rsidR="001431B7" w:rsidRPr="006D585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ECONÓMICAS 2017</w:t>
      </w:r>
    </w:p>
    <w:p w14:paraId="77B3B8BA" w14:textId="77777777" w:rsidR="0050197F" w:rsidRPr="005402D7" w:rsidRDefault="0050197F" w:rsidP="00501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MX"/>
        </w:rPr>
      </w:pPr>
    </w:p>
    <w:p w14:paraId="44C2ABA2" w14:textId="77777777" w:rsidR="0050197F" w:rsidRPr="005402D7" w:rsidRDefault="0050197F" w:rsidP="005019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MX"/>
        </w:rPr>
      </w:pPr>
    </w:p>
    <w:p w14:paraId="7B3F4DA0" w14:textId="2A3EAEE2" w:rsidR="0050197F" w:rsidRPr="006D5859" w:rsidRDefault="006D5859" w:rsidP="0050197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6D5859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L</w:t>
      </w:r>
      <w:r w:rsidRPr="004E7B40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a falta de claridad en la</w:t>
      </w:r>
      <w:r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s reglas de política</w:t>
      </w:r>
      <w:r w:rsidR="004D6DB8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s</w:t>
      </w:r>
      <w:r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 xml:space="preserve"> </w:t>
      </w:r>
      <w:r w:rsidRPr="006D5859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económica</w:t>
      </w:r>
      <w:r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 xml:space="preserve"> y monetaria</w:t>
      </w:r>
      <w:r w:rsidRPr="006D5859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 xml:space="preserve"> </w:t>
      </w:r>
      <w:r w:rsidR="004D6DB8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nacionales</w:t>
      </w:r>
      <w:r w:rsidRPr="006D5859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 xml:space="preserve">, apunta a </w:t>
      </w:r>
      <w:r w:rsidRPr="004E7B40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que el tipo de cambio se deb</w:t>
      </w:r>
      <w:r w:rsidR="00FB3C6B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i</w:t>
      </w:r>
      <w:r w:rsidRPr="004E7B40"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lite aún más</w:t>
      </w:r>
      <w:r>
        <w:rPr>
          <w:rFonts w:ascii="Arial" w:eastAsia="MS Mincho" w:hAnsi="Arial" w:cs="Times New Roman"/>
          <w:i/>
          <w:noProof/>
          <w:sz w:val="20"/>
          <w:szCs w:val="20"/>
          <w:lang w:val="es-ES_tradnl" w:eastAsia="es-ES"/>
        </w:rPr>
        <w:t>(EBC)</w:t>
      </w:r>
    </w:p>
    <w:p w14:paraId="4691E2EB" w14:textId="3C04B6F1" w:rsidR="0050197F" w:rsidRPr="006D5859" w:rsidRDefault="006D5859" w:rsidP="0050197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6D5859">
        <w:rPr>
          <w:rFonts w:ascii="Arial" w:eastAsia="Times New Roman" w:hAnsi="Arial" w:cs="Arial"/>
          <w:i/>
          <w:sz w:val="20"/>
          <w:szCs w:val="20"/>
          <w:lang w:eastAsia="es-MX"/>
        </w:rPr>
        <w:t>$</w:t>
      </w:r>
      <w:r w:rsidR="005402D7" w:rsidRPr="006D5859">
        <w:rPr>
          <w:rFonts w:ascii="Arial" w:eastAsia="Times New Roman" w:hAnsi="Arial" w:cs="Arial"/>
          <w:i/>
          <w:sz w:val="20"/>
          <w:szCs w:val="20"/>
          <w:lang w:eastAsia="es-MX"/>
        </w:rPr>
        <w:t>24.50 pronóstico peso-dólar para finales de 2017(EBC)</w:t>
      </w:r>
      <w:bookmarkStart w:id="0" w:name="_GoBack"/>
      <w:bookmarkEnd w:id="0"/>
    </w:p>
    <w:p w14:paraId="29DF056A" w14:textId="77777777" w:rsidR="001431B7" w:rsidRPr="001431B7" w:rsidRDefault="001431B7" w:rsidP="00143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</w:p>
    <w:p w14:paraId="7BF59A5B" w14:textId="127E1C66" w:rsidR="001431B7" w:rsidRDefault="00CF3425" w:rsidP="001431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s-ES"/>
        </w:rPr>
        <w:t xml:space="preserve">Ciudad de </w:t>
      </w:r>
      <w:r w:rsidR="00B77C7E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s-ES"/>
        </w:rPr>
        <w:t xml:space="preserve">México a 8 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s-ES"/>
        </w:rPr>
        <w:t>de</w:t>
      </w:r>
      <w:r w:rsidR="00B77C7E"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s-ES"/>
        </w:rPr>
        <w:t xml:space="preserve"> diciembre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  <w:lang w:val="es-ES"/>
        </w:rPr>
        <w:t xml:space="preserve"> 2016</w:t>
      </w:r>
      <w:r>
        <w:rPr>
          <w:rFonts w:ascii="Arial" w:hAnsi="Arial" w:cs="Arial"/>
          <w:color w:val="222222"/>
          <w:shd w:val="clear" w:color="auto" w:fill="FFFFFF"/>
          <w:lang w:val="es-ES"/>
        </w:rPr>
        <w:t>.</w:t>
      </w:r>
      <w:r>
        <w:rPr>
          <w:rStyle w:val="apple-converted-space"/>
          <w:rFonts w:ascii="Arial" w:hAnsi="Arial" w:cs="Arial"/>
          <w:i/>
          <w:iCs/>
          <w:color w:val="222222"/>
          <w:shd w:val="clear" w:color="auto" w:fill="FFFFFF"/>
          <w:lang w:val="es-ES"/>
        </w:rPr>
        <w:t> </w:t>
      </w:r>
      <w:r>
        <w:rPr>
          <w:rFonts w:ascii="Arial" w:hAnsi="Arial" w:cs="Arial"/>
          <w:color w:val="222222"/>
          <w:shd w:val="clear" w:color="auto" w:fill="FFFFFF"/>
          <w:lang w:val="es-ES"/>
        </w:rPr>
        <w:t>La Escuela Bancaria y Comercial (EBC), primera institución privada de educación especializada en negocios, presentó la conferencia “Perspectivas Económicas 2017</w:t>
      </w:r>
      <w:r>
        <w:rPr>
          <w:rFonts w:ascii="Arial" w:hAnsi="Arial" w:cs="Arial"/>
          <w:i/>
          <w:iCs/>
          <w:color w:val="222222"/>
          <w:shd w:val="clear" w:color="auto" w:fill="FFFFFF"/>
          <w:lang w:val="es-ES"/>
        </w:rPr>
        <w:t>”</w:t>
      </w:r>
      <w:r w:rsidR="00B77C7E">
        <w:rPr>
          <w:rStyle w:val="apple-converted-space"/>
          <w:rFonts w:ascii="Arial" w:hAnsi="Arial" w:cs="Arial"/>
          <w:i/>
          <w:iCs/>
          <w:color w:val="222222"/>
          <w:shd w:val="clear" w:color="auto" w:fill="FFFFFF"/>
          <w:lang w:val="es-ES"/>
        </w:rPr>
        <w:t xml:space="preserve"> </w:t>
      </w:r>
      <w:r w:rsidR="00B77C7E" w:rsidRPr="00B77C7E">
        <w:rPr>
          <w:rStyle w:val="apple-converted-space"/>
          <w:rFonts w:ascii="Arial" w:hAnsi="Arial" w:cs="Arial"/>
          <w:iCs/>
          <w:color w:val="222222"/>
          <w:shd w:val="clear" w:color="auto" w:fill="FFFFFF"/>
          <w:lang w:val="es-ES"/>
        </w:rPr>
        <w:t>la cual</w:t>
      </w:r>
      <w:r w:rsidR="00B77C7E">
        <w:rPr>
          <w:rFonts w:ascii="Arial" w:hAnsi="Arial" w:cs="Arial"/>
          <w:color w:val="222222"/>
          <w:shd w:val="clear" w:color="auto" w:fill="FFFFFF"/>
          <w:lang w:val="es-ES"/>
        </w:rPr>
        <w:t xml:space="preserve"> destacó el panorama económico nacional e internacional, así como las tende</w:t>
      </w:r>
      <w:r w:rsidR="006D5859">
        <w:rPr>
          <w:rFonts w:ascii="Arial" w:hAnsi="Arial" w:cs="Arial"/>
          <w:color w:val="222222"/>
          <w:shd w:val="clear" w:color="auto" w:fill="FFFFFF"/>
          <w:lang w:val="es-ES"/>
        </w:rPr>
        <w:t xml:space="preserve">ncias macro económicas </w:t>
      </w:r>
      <w:r w:rsidR="00B77C7E">
        <w:rPr>
          <w:rFonts w:ascii="Arial" w:hAnsi="Arial" w:cs="Arial"/>
          <w:color w:val="222222"/>
          <w:shd w:val="clear" w:color="auto" w:fill="FFFFFF"/>
          <w:lang w:val="es-ES"/>
        </w:rPr>
        <w:t>para el próximo año.</w:t>
      </w:r>
    </w:p>
    <w:p w14:paraId="1D7BE0D3" w14:textId="77777777" w:rsidR="00792D0E" w:rsidRDefault="00792D0E" w:rsidP="001431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9CEC341" w14:textId="3AC49C95" w:rsidR="001431B7" w:rsidRPr="001431B7" w:rsidRDefault="00792D0E" w:rsidP="00143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 w:rsidRPr="00751B65">
        <w:rPr>
          <w:rFonts w:ascii="Arial" w:eastAsia="Times New Roman" w:hAnsi="Arial" w:cs="Arial"/>
          <w:color w:val="222222"/>
          <w:lang w:val="es-ES" w:eastAsia="es-MX"/>
        </w:rPr>
        <w:t xml:space="preserve">Al respecto la Mtra. Verónica </w:t>
      </w:r>
      <w:proofErr w:type="spellStart"/>
      <w:r w:rsidRPr="00751B65">
        <w:rPr>
          <w:rFonts w:ascii="Arial" w:eastAsia="Times New Roman" w:hAnsi="Arial" w:cs="Arial"/>
          <w:color w:val="222222"/>
          <w:lang w:val="es-ES" w:eastAsia="es-MX"/>
        </w:rPr>
        <w:t>Arlette</w:t>
      </w:r>
      <w:proofErr w:type="spellEnd"/>
      <w:r w:rsidRPr="00751B65">
        <w:rPr>
          <w:rFonts w:ascii="Arial" w:eastAsia="Times New Roman" w:hAnsi="Arial" w:cs="Arial"/>
          <w:color w:val="222222"/>
          <w:lang w:val="es-ES" w:eastAsia="es-MX"/>
        </w:rPr>
        <w:t xml:space="preserve"> Zepeda, catedrática del Colegio de Economía en la EBC, destacó que la </w:t>
      </w:r>
      <w:r w:rsidRPr="00751B65">
        <w:rPr>
          <w:rFonts w:ascii="Arial" w:eastAsia="Calibri" w:hAnsi="Arial" w:cs="Arial"/>
        </w:rPr>
        <w:t>economía mundial</w:t>
      </w:r>
      <w:r w:rsidR="004E7B40" w:rsidRPr="00751B65">
        <w:rPr>
          <w:rFonts w:ascii="Arial" w:eastAsia="Calibri" w:hAnsi="Arial" w:cs="Arial"/>
        </w:rPr>
        <w:t xml:space="preserve"> ha enfrentado</w:t>
      </w:r>
      <w:r w:rsidRPr="00751B65">
        <w:rPr>
          <w:rFonts w:ascii="Arial" w:eastAsia="Calibri" w:hAnsi="Arial" w:cs="Arial"/>
        </w:rPr>
        <w:t xml:space="preserve"> un comportamiento a la baja, debido principalmente a la incertidumbre</w:t>
      </w:r>
      <w:r w:rsidR="004E7B40" w:rsidRPr="00751B65">
        <w:rPr>
          <w:rFonts w:ascii="Arial" w:eastAsia="Calibri" w:hAnsi="Arial" w:cs="Arial"/>
        </w:rPr>
        <w:t xml:space="preserve"> generada</w:t>
      </w:r>
      <w:r w:rsidRPr="00751B65">
        <w:rPr>
          <w:rFonts w:ascii="Arial" w:eastAsia="Calibri" w:hAnsi="Arial" w:cs="Arial"/>
        </w:rPr>
        <w:t xml:space="preserve"> por e</w:t>
      </w:r>
      <w:r w:rsidRPr="001431B7">
        <w:rPr>
          <w:rFonts w:ascii="Arial" w:eastAsia="Calibri" w:hAnsi="Arial" w:cs="Arial"/>
        </w:rPr>
        <w:t xml:space="preserve">l proceso electoral en los Estados Unidos, </w:t>
      </w:r>
      <w:r w:rsidRPr="00751B65">
        <w:rPr>
          <w:rFonts w:ascii="Arial" w:eastAsia="Calibri" w:hAnsi="Arial" w:cs="Arial"/>
        </w:rPr>
        <w:t>así como el sufragio del BREXIT en</w:t>
      </w:r>
      <w:r w:rsidRPr="001431B7">
        <w:rPr>
          <w:rFonts w:ascii="Arial" w:eastAsia="Calibri" w:hAnsi="Arial" w:cs="Arial"/>
        </w:rPr>
        <w:t xml:space="preserve"> el Reino Unido</w:t>
      </w:r>
      <w:r w:rsidRPr="00751B65">
        <w:rPr>
          <w:rFonts w:ascii="Arial" w:eastAsia="Calibri" w:hAnsi="Arial" w:cs="Arial"/>
        </w:rPr>
        <w:t>.</w:t>
      </w:r>
    </w:p>
    <w:p w14:paraId="3C25866E" w14:textId="77777777" w:rsidR="001431B7" w:rsidRDefault="001431B7" w:rsidP="00143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431B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p w14:paraId="3B7BB6A9" w14:textId="20705FA2" w:rsidR="00751B65" w:rsidRPr="006D5859" w:rsidRDefault="004E7B40" w:rsidP="004E7B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“</w:t>
      </w:r>
      <w:r w:rsidR="00792D0E" w:rsidRPr="006D5859">
        <w:rPr>
          <w:rFonts w:ascii="Arial" w:eastAsia="Times New Roman" w:hAnsi="Arial" w:cs="Arial"/>
          <w:color w:val="000000"/>
          <w:lang w:eastAsia="es-MX"/>
        </w:rPr>
        <w:t>E</w:t>
      </w:r>
      <w:r w:rsidR="001431B7" w:rsidRPr="001431B7">
        <w:rPr>
          <w:rFonts w:ascii="Arial" w:eastAsia="Calibri" w:hAnsi="Arial" w:cs="Arial"/>
        </w:rPr>
        <w:t>pisodios</w:t>
      </w:r>
      <w:r w:rsidR="00792D0E" w:rsidRPr="006D5859">
        <w:rPr>
          <w:rFonts w:ascii="Arial" w:eastAsia="Calibri" w:hAnsi="Arial" w:cs="Arial"/>
        </w:rPr>
        <w:t xml:space="preserve"> que aunados</w:t>
      </w:r>
      <w:r w:rsidR="00792D0E" w:rsidRPr="006D5859">
        <w:rPr>
          <w:rFonts w:ascii="Arial" w:hAnsi="Arial" w:cs="Arial"/>
        </w:rPr>
        <w:t xml:space="preserve"> a los desequilibrios de países como Japón  y China, han provocado altos niveles de volatilidad en los mercados financieros, tanto de valores como de divisas,  así como un fuerte estancamiento en el crecimiento económico mundial</w:t>
      </w:r>
      <w:r w:rsidRPr="006D5859">
        <w:rPr>
          <w:rFonts w:ascii="Arial" w:hAnsi="Arial" w:cs="Arial"/>
        </w:rPr>
        <w:t>” destacó la académica</w:t>
      </w:r>
      <w:r w:rsidR="00751B65" w:rsidRPr="006D5859">
        <w:rPr>
          <w:rFonts w:ascii="Arial" w:hAnsi="Arial" w:cs="Arial"/>
        </w:rPr>
        <w:t>. “</w:t>
      </w:r>
      <w:r w:rsidR="00AA4C2F" w:rsidRPr="006D5859">
        <w:rPr>
          <w:rFonts w:ascii="Arial" w:hAnsi="Arial" w:cs="Arial"/>
        </w:rPr>
        <w:t>Este panorama</w:t>
      </w:r>
      <w:r w:rsidR="00E82D6F" w:rsidRPr="006D5859">
        <w:rPr>
          <w:rFonts w:ascii="Arial" w:hAnsi="Arial" w:cs="Arial"/>
        </w:rPr>
        <w:t xml:space="preserve"> internacional </w:t>
      </w:r>
      <w:r w:rsidR="00E82D6F" w:rsidRPr="006D5859">
        <w:rPr>
          <w:rFonts w:ascii="Arial" w:eastAsia="Calibri" w:hAnsi="Arial" w:cs="Arial"/>
        </w:rPr>
        <w:t>ha</w:t>
      </w:r>
      <w:r w:rsidR="00751B65" w:rsidRPr="006D5859">
        <w:rPr>
          <w:rFonts w:ascii="Arial" w:eastAsia="Calibri" w:hAnsi="Arial" w:cs="Arial"/>
        </w:rPr>
        <w:t xml:space="preserve"> afectado </w:t>
      </w:r>
      <w:r w:rsidR="00E82D6F" w:rsidRPr="001431B7">
        <w:rPr>
          <w:rFonts w:ascii="Arial" w:eastAsia="Calibri" w:hAnsi="Arial" w:cs="Arial"/>
        </w:rPr>
        <w:t>a las economías emerg</w:t>
      </w:r>
      <w:r w:rsidR="00E82D6F" w:rsidRPr="006D5859">
        <w:rPr>
          <w:rFonts w:ascii="Arial" w:eastAsia="Calibri" w:hAnsi="Arial" w:cs="Arial"/>
        </w:rPr>
        <w:t>entes,</w:t>
      </w:r>
      <w:r w:rsidR="006D5859" w:rsidRPr="006D5859">
        <w:rPr>
          <w:rFonts w:ascii="Arial" w:eastAsia="Calibri" w:hAnsi="Arial" w:cs="Arial"/>
        </w:rPr>
        <w:t xml:space="preserve"> siendo</w:t>
      </w:r>
      <w:r w:rsidR="00751B65" w:rsidRPr="006D5859">
        <w:rPr>
          <w:rFonts w:ascii="Arial" w:eastAsia="Calibri" w:hAnsi="Arial" w:cs="Arial"/>
        </w:rPr>
        <w:t xml:space="preserve"> </w:t>
      </w:r>
      <w:r w:rsidR="00E82D6F" w:rsidRPr="006D5859">
        <w:rPr>
          <w:rFonts w:ascii="Arial" w:eastAsia="Calibri" w:hAnsi="Arial" w:cs="Arial"/>
        </w:rPr>
        <w:t>en el caso de México</w:t>
      </w:r>
      <w:r w:rsidR="00751B65" w:rsidRPr="006D5859">
        <w:rPr>
          <w:rFonts w:ascii="Arial" w:eastAsia="Calibri" w:hAnsi="Arial" w:cs="Arial"/>
        </w:rPr>
        <w:t xml:space="preserve">, </w:t>
      </w:r>
      <w:r w:rsidR="00E82D6F" w:rsidRPr="006D5859">
        <w:rPr>
          <w:rFonts w:ascii="Arial" w:hAnsi="Arial" w:cs="Arial"/>
        </w:rPr>
        <w:t xml:space="preserve">la volatilidad </w:t>
      </w:r>
      <w:r w:rsidR="006D5859" w:rsidRPr="006D5859">
        <w:rPr>
          <w:rFonts w:ascii="Arial" w:hAnsi="Arial" w:cs="Arial"/>
        </w:rPr>
        <w:t>d</w:t>
      </w:r>
      <w:r w:rsidR="00E82D6F" w:rsidRPr="006D5859">
        <w:rPr>
          <w:rFonts w:ascii="Arial" w:hAnsi="Arial" w:cs="Arial"/>
        </w:rPr>
        <w:t>el valor del peso</w:t>
      </w:r>
      <w:r w:rsidR="005402D7" w:rsidRPr="006D5859">
        <w:rPr>
          <w:rFonts w:ascii="Arial" w:hAnsi="Arial" w:cs="Arial"/>
        </w:rPr>
        <w:t xml:space="preserve"> con respecto al dólar</w:t>
      </w:r>
      <w:r w:rsidR="006D5859" w:rsidRPr="006D5859">
        <w:rPr>
          <w:rFonts w:ascii="Arial" w:hAnsi="Arial" w:cs="Arial"/>
        </w:rPr>
        <w:t xml:space="preserve"> la  que se ha visto afectada</w:t>
      </w:r>
      <w:r w:rsidR="00751B65" w:rsidRPr="006D5859">
        <w:rPr>
          <w:rFonts w:ascii="Arial" w:hAnsi="Arial" w:cs="Arial"/>
        </w:rPr>
        <w:t>” agregó.</w:t>
      </w:r>
    </w:p>
    <w:p w14:paraId="4E174132" w14:textId="3ED2866D" w:rsidR="00563E42" w:rsidRPr="00CA74CB" w:rsidRDefault="00AA4C2F" w:rsidP="004E7B40">
      <w:pPr>
        <w:spacing w:line="240" w:lineRule="auto"/>
        <w:jc w:val="both"/>
        <w:rPr>
          <w:rFonts w:ascii="Arial" w:hAnsi="Arial" w:cs="Arial"/>
        </w:rPr>
      </w:pPr>
      <w:r w:rsidRPr="00CA74CB">
        <w:rPr>
          <w:rFonts w:ascii="Arial" w:hAnsi="Arial" w:cs="Arial"/>
        </w:rPr>
        <w:t xml:space="preserve">La evolución de: </w:t>
      </w:r>
      <w:r w:rsidR="00563E42" w:rsidRPr="00CA74CB">
        <w:rPr>
          <w:rFonts w:ascii="Arial" w:hAnsi="Arial" w:cs="Arial"/>
        </w:rPr>
        <w:t xml:space="preserve">Inflación, Tasas </w:t>
      </w:r>
      <w:r w:rsidRPr="00CA74CB">
        <w:rPr>
          <w:rFonts w:ascii="Arial" w:hAnsi="Arial" w:cs="Arial"/>
        </w:rPr>
        <w:t>de Interés y Tipo de Cambio durante los últimos diez años,  aunados a la incertidumbre del futuro del Tratado de Libre Comercio, son</w:t>
      </w:r>
      <w:r w:rsidR="00563E42" w:rsidRPr="00CA74CB">
        <w:rPr>
          <w:rFonts w:ascii="Arial" w:hAnsi="Arial" w:cs="Arial"/>
        </w:rPr>
        <w:t xml:space="preserve"> i</w:t>
      </w:r>
      <w:r w:rsidR="00F801A8" w:rsidRPr="00CA74CB">
        <w:rPr>
          <w:rFonts w:ascii="Arial" w:hAnsi="Arial" w:cs="Arial"/>
        </w:rPr>
        <w:t>ndicadores fluctuantes que mantienen</w:t>
      </w:r>
      <w:r w:rsidR="005402D7">
        <w:rPr>
          <w:rFonts w:ascii="Arial" w:hAnsi="Arial" w:cs="Arial"/>
        </w:rPr>
        <w:t xml:space="preserve"> a</w:t>
      </w:r>
      <w:r w:rsidR="00F801A8" w:rsidRPr="00CA74CB">
        <w:rPr>
          <w:rFonts w:ascii="Arial" w:hAnsi="Arial" w:cs="Arial"/>
        </w:rPr>
        <w:t xml:space="preserve"> la expectativa el comportamiento nacional en cuanto a</w:t>
      </w:r>
      <w:r w:rsidR="00CA74CB" w:rsidRPr="00CA74CB">
        <w:rPr>
          <w:rFonts w:ascii="Arial" w:hAnsi="Arial" w:cs="Arial"/>
        </w:rPr>
        <w:t xml:space="preserve"> la estabilidad  de mercados financieros y la</w:t>
      </w:r>
      <w:r w:rsidR="004D6DB8">
        <w:rPr>
          <w:rFonts w:ascii="Arial" w:hAnsi="Arial" w:cs="Arial"/>
        </w:rPr>
        <w:t>s</w:t>
      </w:r>
      <w:r w:rsidR="00F801A8" w:rsidRPr="00CA74CB">
        <w:rPr>
          <w:rFonts w:ascii="Arial" w:hAnsi="Arial" w:cs="Arial"/>
        </w:rPr>
        <w:t xml:space="preserve"> política</w:t>
      </w:r>
      <w:r w:rsidR="004D6DB8">
        <w:rPr>
          <w:rFonts w:ascii="Arial" w:hAnsi="Arial" w:cs="Arial"/>
        </w:rPr>
        <w:t>s</w:t>
      </w:r>
      <w:r w:rsidR="00F801A8" w:rsidRPr="00CA74CB">
        <w:rPr>
          <w:rFonts w:ascii="Arial" w:hAnsi="Arial" w:cs="Arial"/>
        </w:rPr>
        <w:t xml:space="preserve"> económica y  monetaria.</w:t>
      </w:r>
    </w:p>
    <w:p w14:paraId="72817851" w14:textId="4E73655E" w:rsidR="00CA74CB" w:rsidRDefault="00F801A8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  <w:r>
        <w:rPr>
          <w:rFonts w:ascii="Arial" w:eastAsia="MS Mincho" w:hAnsi="Arial" w:cs="Times New Roman"/>
          <w:noProof/>
          <w:lang w:val="es-ES_tradnl" w:eastAsia="es-ES"/>
        </w:rPr>
        <w:t>“</w:t>
      </w:r>
      <w:r w:rsidR="00D05FD5">
        <w:rPr>
          <w:rFonts w:ascii="Arial" w:eastAsia="MS Mincho" w:hAnsi="Arial" w:cs="Times New Roman"/>
          <w:noProof/>
          <w:lang w:val="es-ES_tradnl" w:eastAsia="es-ES"/>
        </w:rPr>
        <w:t>Mientras a</w:t>
      </w:r>
      <w:r w:rsidR="00563E42">
        <w:rPr>
          <w:rFonts w:ascii="Arial" w:eastAsia="MS Mincho" w:hAnsi="Arial" w:cs="Times New Roman"/>
          <w:noProof/>
          <w:lang w:val="es-ES_tradnl" w:eastAsia="es-ES"/>
        </w:rPr>
        <w:t>lgunos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sectores</w:t>
      </w:r>
      <w:r w:rsidR="006D5859">
        <w:rPr>
          <w:rFonts w:ascii="Arial" w:eastAsia="MS Mincho" w:hAnsi="Arial" w:cs="Times New Roman"/>
          <w:noProof/>
          <w:lang w:val="es-ES_tradnl" w:eastAsia="es-ES"/>
        </w:rPr>
        <w:t xml:space="preserve"> empresariales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ha</w:t>
      </w:r>
      <w:r w:rsidR="00751B65">
        <w:rPr>
          <w:rFonts w:ascii="Arial" w:eastAsia="MS Mincho" w:hAnsi="Arial" w:cs="Times New Roman"/>
          <w:noProof/>
          <w:lang w:val="es-ES_tradnl" w:eastAsia="es-ES"/>
        </w:rPr>
        <w:t>n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comenzado </w:t>
      </w:r>
      <w:r w:rsidR="00563E42">
        <w:rPr>
          <w:rFonts w:ascii="Arial" w:eastAsia="MS Mincho" w:hAnsi="Arial" w:cs="Times New Roman"/>
          <w:noProof/>
          <w:lang w:val="es-ES_tradnl" w:eastAsia="es-ES"/>
        </w:rPr>
        <w:t xml:space="preserve">a 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>registrar un menor ritmo de cre</w:t>
      </w:r>
      <w:r>
        <w:rPr>
          <w:rFonts w:ascii="Arial" w:eastAsia="MS Mincho" w:hAnsi="Arial" w:cs="Times New Roman"/>
          <w:noProof/>
          <w:lang w:val="es-ES_tradnl" w:eastAsia="es-ES"/>
        </w:rPr>
        <w:t xml:space="preserve">cimiento en </w:t>
      </w:r>
      <w:r w:rsidR="00D05FD5">
        <w:rPr>
          <w:rFonts w:ascii="Arial" w:eastAsia="MS Mincho" w:hAnsi="Arial" w:cs="Times New Roman"/>
          <w:noProof/>
          <w:lang w:val="es-ES_tradnl" w:eastAsia="es-ES"/>
        </w:rPr>
        <w:t xml:space="preserve">sus inversiones, 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>se puede observar que el nivel de inversión</w:t>
      </w:r>
      <w:r w:rsidR="00D05FD5">
        <w:rPr>
          <w:rFonts w:ascii="Arial" w:eastAsia="MS Mincho" w:hAnsi="Arial" w:cs="Times New Roman"/>
          <w:noProof/>
          <w:lang w:val="es-ES_tradnl" w:eastAsia="es-ES"/>
        </w:rPr>
        <w:t xml:space="preserve"> de otros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se ha estancado;</w:t>
      </w:r>
      <w:r w:rsidR="005F188E">
        <w:rPr>
          <w:rFonts w:ascii="Arial" w:eastAsia="MS Mincho" w:hAnsi="Arial" w:cs="Times New Roman"/>
          <w:noProof/>
          <w:lang w:val="es-ES_tradnl" w:eastAsia="es-ES"/>
        </w:rPr>
        <w:t xml:space="preserve"> </w:t>
      </w:r>
      <w:r w:rsidR="00D05FD5">
        <w:rPr>
          <w:rFonts w:ascii="Arial" w:eastAsia="MS Mincho" w:hAnsi="Arial" w:cs="Times New Roman"/>
          <w:noProof/>
          <w:lang w:val="es-ES_tradnl" w:eastAsia="es-ES"/>
        </w:rPr>
        <w:t>debido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</w:t>
      </w:r>
      <w:r>
        <w:rPr>
          <w:rFonts w:ascii="Arial" w:eastAsia="MS Mincho" w:hAnsi="Arial" w:cs="Times New Roman"/>
          <w:noProof/>
          <w:lang w:val="es-ES_tradnl" w:eastAsia="es-ES"/>
        </w:rPr>
        <w:t>principalmente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a la falta de claridad en la</w:t>
      </w:r>
      <w:r w:rsidR="005402D7">
        <w:rPr>
          <w:rFonts w:ascii="Arial" w:eastAsia="MS Mincho" w:hAnsi="Arial" w:cs="Times New Roman"/>
          <w:noProof/>
          <w:lang w:val="es-ES_tradnl" w:eastAsia="es-ES"/>
        </w:rPr>
        <w:t>s reglas que entrarán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 xml:space="preserve"> en vigor</w:t>
      </w:r>
      <w:r w:rsidR="00D05FD5">
        <w:rPr>
          <w:rFonts w:ascii="Arial" w:eastAsia="MS Mincho" w:hAnsi="Arial" w:cs="Times New Roman"/>
          <w:noProof/>
          <w:lang w:val="es-ES_tradnl" w:eastAsia="es-ES"/>
        </w:rPr>
        <w:t>” comentó Arlette Zepeda. “</w:t>
      </w:r>
      <w:r>
        <w:rPr>
          <w:rFonts w:ascii="Arial" w:eastAsia="MS Mincho" w:hAnsi="Arial" w:cs="Times New Roman"/>
          <w:noProof/>
          <w:lang w:val="es-ES_tradnl" w:eastAsia="es-ES"/>
        </w:rPr>
        <w:t xml:space="preserve">Situación que apunta a 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>que el tipo de cambio se deblite aún más y el nivel de crecimiento económico se vea seriamente comprometido</w:t>
      </w:r>
      <w:r>
        <w:rPr>
          <w:rFonts w:ascii="Arial" w:eastAsia="MS Mincho" w:hAnsi="Arial" w:cs="Times New Roman"/>
          <w:noProof/>
          <w:lang w:val="es-ES_tradnl" w:eastAsia="es-ES"/>
        </w:rPr>
        <w:t>”</w:t>
      </w:r>
      <w:r w:rsidR="00D05FD5">
        <w:rPr>
          <w:rFonts w:ascii="Arial" w:eastAsia="MS Mincho" w:hAnsi="Arial" w:cs="Times New Roman"/>
          <w:noProof/>
          <w:lang w:val="es-ES_tradnl" w:eastAsia="es-ES"/>
        </w:rPr>
        <w:t xml:space="preserve"> detalló</w:t>
      </w:r>
      <w:r w:rsidR="004E7B40" w:rsidRPr="004E7B40">
        <w:rPr>
          <w:rFonts w:ascii="Arial" w:eastAsia="MS Mincho" w:hAnsi="Arial" w:cs="Times New Roman"/>
          <w:noProof/>
          <w:lang w:val="es-ES_tradnl" w:eastAsia="es-ES"/>
        </w:rPr>
        <w:t>.</w:t>
      </w:r>
    </w:p>
    <w:p w14:paraId="51A149D0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3399829C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2334708B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2DCE3E1E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5C31D286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7E663F69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339B8C17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715A2C63" w14:textId="77777777" w:rsidR="00E566B9" w:rsidRDefault="00E566B9" w:rsidP="005F188E">
      <w:pPr>
        <w:spacing w:line="240" w:lineRule="auto"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453883FE" w14:textId="77777777" w:rsidR="00E566B9" w:rsidRPr="00E00CD5" w:rsidRDefault="00E566B9" w:rsidP="00E566B9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lang w:eastAsia="es-MX"/>
        </w:rPr>
      </w:pPr>
    </w:p>
    <w:p w14:paraId="05F772BB" w14:textId="73D6CEB4" w:rsidR="00391B37" w:rsidRPr="00E00CD5" w:rsidRDefault="00E00CD5" w:rsidP="00457A43">
      <w:pPr>
        <w:spacing w:after="0" w:line="240" w:lineRule="auto"/>
        <w:contextualSpacing/>
        <w:jc w:val="both"/>
        <w:rPr>
          <w:rFonts w:ascii="Arial" w:eastAsia="MS Mincho" w:hAnsi="Arial" w:cs="Times New Roman"/>
          <w:b/>
          <w:noProof/>
          <w:lang w:val="es-ES_tradnl" w:eastAsia="es-ES"/>
        </w:rPr>
      </w:pPr>
      <w:r>
        <w:rPr>
          <w:rFonts w:ascii="Arial" w:eastAsia="MS Mincho" w:hAnsi="Arial" w:cs="Times New Roman"/>
          <w:b/>
          <w:noProof/>
          <w:lang w:val="es-ES_tradnl" w:eastAsia="es-ES"/>
        </w:rPr>
        <w:t>Conclusiones</w:t>
      </w:r>
    </w:p>
    <w:p w14:paraId="00F930E7" w14:textId="77777777" w:rsidR="00391B37" w:rsidRDefault="00391B37" w:rsidP="00457A43">
      <w:pPr>
        <w:spacing w:after="0" w:line="240" w:lineRule="auto"/>
        <w:contextualSpacing/>
        <w:jc w:val="both"/>
        <w:rPr>
          <w:rFonts w:ascii="Arial" w:eastAsia="MS Mincho" w:hAnsi="Arial" w:cs="Times New Roman"/>
          <w:noProof/>
          <w:lang w:val="es-ES_tradnl" w:eastAsia="es-ES"/>
        </w:rPr>
      </w:pPr>
    </w:p>
    <w:p w14:paraId="7D33E7CF" w14:textId="67C0342F" w:rsidR="005F188E" w:rsidRDefault="00CA74CB" w:rsidP="00457A4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>
        <w:rPr>
          <w:rFonts w:ascii="Arial" w:eastAsia="MS Mincho" w:hAnsi="Arial" w:cs="Times New Roman"/>
          <w:noProof/>
          <w:lang w:val="es-ES_tradnl" w:eastAsia="es-ES"/>
        </w:rPr>
        <w:t>Analistas</w:t>
      </w:r>
      <w:r w:rsidR="005F188E">
        <w:rPr>
          <w:rFonts w:ascii="Arial" w:eastAsia="MS Mincho" w:hAnsi="Arial" w:cs="Times New Roman"/>
          <w:noProof/>
          <w:lang w:val="es-ES_tradnl" w:eastAsia="es-ES"/>
        </w:rPr>
        <w:t xml:space="preserve"> auguran diversos pronósticos de comportamieto económico hacia 2017, sin embargo</w:t>
      </w:r>
      <w:r>
        <w:rPr>
          <w:rFonts w:ascii="Arial" w:eastAsia="MS Mincho" w:hAnsi="Arial" w:cs="Times New Roman"/>
          <w:noProof/>
          <w:lang w:val="es-ES_tradnl" w:eastAsia="es-ES"/>
        </w:rPr>
        <w:t xml:space="preserve"> debido al co</w:t>
      </w:r>
      <w:r w:rsidR="00457A43">
        <w:rPr>
          <w:rFonts w:ascii="Arial" w:eastAsia="MS Mincho" w:hAnsi="Arial" w:cs="Times New Roman"/>
          <w:noProof/>
          <w:lang w:val="es-ES_tradnl" w:eastAsia="es-ES"/>
        </w:rPr>
        <w:t xml:space="preserve">ntexto internacional y nacional; </w:t>
      </w:r>
      <w:r w:rsidR="00457A43" w:rsidRPr="00457A43">
        <w:rPr>
          <w:rFonts w:ascii="Arial" w:eastAsia="MS Mincho" w:hAnsi="Arial" w:cs="Times New Roman"/>
          <w:noProof/>
          <w:color w:val="000000" w:themeColor="text1"/>
          <w:lang w:val="es-ES_tradnl" w:eastAsia="es-ES"/>
        </w:rPr>
        <w:t xml:space="preserve">las </w:t>
      </w:r>
      <w:r w:rsidR="00E566B9" w:rsidRPr="00E566B9">
        <w:rPr>
          <w:rFonts w:ascii="Arial" w:eastAsia="+mn-ea" w:hAnsi="Arial" w:cs="Arial"/>
          <w:color w:val="000000" w:themeColor="text1"/>
          <w:kern w:val="24"/>
          <w:lang w:val="es-ES_tradnl" w:eastAsia="es-MX"/>
        </w:rPr>
        <w:t>relaciones económicas y comerciales con México, los avances en las negociaciones del TPP</w:t>
      </w:r>
      <w:r w:rsidR="00457A43" w:rsidRPr="00457A43">
        <w:rPr>
          <w:rFonts w:ascii="Arial" w:eastAsia="+mn-ea" w:hAnsi="Arial" w:cs="Arial"/>
          <w:kern w:val="24"/>
          <w:lang w:val="es-ES_tradnl" w:eastAsia="es-MX"/>
        </w:rPr>
        <w:t xml:space="preserve">, </w:t>
      </w:r>
      <w:r w:rsidR="00457A43" w:rsidRPr="00457A43">
        <w:rPr>
          <w:rFonts w:ascii="Arial" w:eastAsia="+mn-ea" w:hAnsi="Arial" w:cs="Arial"/>
          <w:kern w:val="24"/>
          <w:lang w:val="es-ES_tradnl"/>
        </w:rPr>
        <w:t xml:space="preserve">la recuperación del precio del petróleo y de otras </w:t>
      </w:r>
      <w:proofErr w:type="spellStart"/>
      <w:r w:rsidR="00457A43" w:rsidRPr="00457A43">
        <w:rPr>
          <w:rFonts w:ascii="Arial" w:eastAsia="+mn-ea" w:hAnsi="Arial" w:cs="Arial"/>
          <w:i/>
          <w:iCs/>
          <w:kern w:val="24"/>
          <w:lang w:val="es-ES_tradnl"/>
        </w:rPr>
        <w:t>commodities</w:t>
      </w:r>
      <w:proofErr w:type="spellEnd"/>
      <w:r w:rsidR="00457A43">
        <w:rPr>
          <w:rFonts w:ascii="Arial" w:eastAsia="+mn-ea" w:hAnsi="Arial" w:cs="Arial"/>
          <w:color w:val="000000" w:themeColor="text1"/>
          <w:kern w:val="24"/>
          <w:lang w:val="es-ES_tradnl" w:eastAsia="es-MX"/>
        </w:rPr>
        <w:t>,</w:t>
      </w:r>
      <w:r>
        <w:rPr>
          <w:rFonts w:ascii="Arial" w:eastAsia="MS Mincho" w:hAnsi="Arial" w:cs="Times New Roman"/>
          <w:noProof/>
          <w:lang w:val="es-ES_tradnl" w:eastAsia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cotización del peso con respecto al dólar seguirá con fuerte volatilidad en los siguientes meses y es poco probable que regrese al nivel que tenía al inicio del año en el corto plazo</w:t>
      </w:r>
      <w:r w:rsidR="004D6DB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siendo el pronóstico peso-dólar para finales del siguiente año, </w:t>
      </w:r>
      <w:r w:rsidR="004D6DB8" w:rsidRPr="006D5859">
        <w:rPr>
          <w:rFonts w:ascii="Arial" w:eastAsia="Times New Roman" w:hAnsi="Arial" w:cs="Arial"/>
          <w:i/>
          <w:sz w:val="20"/>
          <w:szCs w:val="20"/>
          <w:lang w:eastAsia="es-MX"/>
        </w:rPr>
        <w:t>$</w:t>
      </w:r>
      <w:r w:rsidR="00391B37">
        <w:rPr>
          <w:rFonts w:ascii="Arial" w:eastAsia="Times New Roman" w:hAnsi="Arial" w:cs="Arial"/>
          <w:i/>
          <w:sz w:val="20"/>
          <w:szCs w:val="20"/>
          <w:lang w:eastAsia="es-MX"/>
        </w:rPr>
        <w:t>24.50.</w:t>
      </w:r>
    </w:p>
    <w:p w14:paraId="25EBF26E" w14:textId="77777777" w:rsidR="00391B37" w:rsidRDefault="00391B37" w:rsidP="00457A43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</w:p>
    <w:p w14:paraId="7BAB768D" w14:textId="77777777" w:rsidR="00391B37" w:rsidRPr="00391B37" w:rsidRDefault="00391B37" w:rsidP="00391B37">
      <w:pPr>
        <w:spacing w:after="0" w:line="288" w:lineRule="auto"/>
        <w:contextualSpacing/>
        <w:jc w:val="both"/>
        <w:rPr>
          <w:rFonts w:ascii="Arial" w:eastAsia="+mn-ea" w:hAnsi="Arial" w:cs="Arial"/>
          <w:kern w:val="24"/>
          <w:lang w:val="es-ES_tradnl" w:eastAsia="es-MX"/>
        </w:rPr>
      </w:pPr>
      <w:r w:rsidRPr="00391B37">
        <w:rPr>
          <w:rFonts w:ascii="Arial" w:eastAsia="+mn-ea" w:hAnsi="Arial" w:cs="Arial"/>
          <w:kern w:val="24"/>
          <w:lang w:val="es-ES_tradnl" w:eastAsia="es-MX"/>
        </w:rPr>
        <w:t>Por lo que respecta, la actividad económica se verá afectada por la reducción en el consumo y la formación bruta de capital como consecuencia del aumento en la tasa de interés, y los movimientos de la balanza comercial.</w:t>
      </w:r>
    </w:p>
    <w:p w14:paraId="539EE130" w14:textId="77777777" w:rsidR="00391B37" w:rsidRPr="00391B37" w:rsidRDefault="00391B37" w:rsidP="00391B37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lang w:eastAsia="es-MX"/>
        </w:rPr>
      </w:pPr>
    </w:p>
    <w:p w14:paraId="7BEFF72E" w14:textId="77777777" w:rsidR="00391B37" w:rsidRDefault="00391B37" w:rsidP="00391B37">
      <w:pPr>
        <w:spacing w:after="0" w:line="288" w:lineRule="auto"/>
        <w:contextualSpacing/>
        <w:jc w:val="both"/>
        <w:rPr>
          <w:rFonts w:ascii="Arial" w:eastAsia="+mn-ea" w:hAnsi="Arial" w:cs="Arial"/>
          <w:kern w:val="24"/>
          <w:lang w:val="es-ES_tradnl" w:eastAsia="es-MX"/>
        </w:rPr>
      </w:pPr>
      <w:r w:rsidRPr="00391B37">
        <w:rPr>
          <w:rFonts w:ascii="Arial" w:eastAsia="+mn-ea" w:hAnsi="Arial" w:cs="Arial"/>
          <w:kern w:val="24"/>
          <w:lang w:val="es-ES_tradnl" w:eastAsia="es-MX"/>
        </w:rPr>
        <w:t xml:space="preserve">Por su parte, la inflación mantendrá una tendencia </w:t>
      </w:r>
      <w:proofErr w:type="gramStart"/>
      <w:r w:rsidRPr="00391B37">
        <w:rPr>
          <w:rFonts w:ascii="Arial" w:eastAsia="+mn-ea" w:hAnsi="Arial" w:cs="Arial"/>
          <w:kern w:val="24"/>
          <w:lang w:val="es-ES_tradnl" w:eastAsia="es-MX"/>
        </w:rPr>
        <w:t>a la</w:t>
      </w:r>
      <w:proofErr w:type="gramEnd"/>
      <w:r w:rsidRPr="00391B37">
        <w:rPr>
          <w:rFonts w:ascii="Arial" w:eastAsia="+mn-ea" w:hAnsi="Arial" w:cs="Arial"/>
          <w:kern w:val="24"/>
          <w:lang w:val="es-ES_tradnl" w:eastAsia="es-MX"/>
        </w:rPr>
        <w:t xml:space="preserve"> alza, ocasionada principalmente por la inestabilidad del tipo de cambio, provocada por la reducción en el flujo de divisas que provienen de las remesas y de la inversión extranjera a nuestro país.</w:t>
      </w:r>
    </w:p>
    <w:p w14:paraId="6BE864C3" w14:textId="77777777" w:rsidR="00391B37" w:rsidRPr="00E00CD5" w:rsidRDefault="00391B37" w:rsidP="00391B37">
      <w:pPr>
        <w:spacing w:after="0" w:line="288" w:lineRule="auto"/>
        <w:contextualSpacing/>
        <w:jc w:val="both"/>
        <w:rPr>
          <w:rFonts w:ascii="Arial" w:eastAsia="+mn-ea" w:hAnsi="Arial" w:cs="Arial"/>
          <w:b/>
          <w:kern w:val="24"/>
          <w:lang w:val="es-ES_tradnl" w:eastAsia="es-MX"/>
        </w:rPr>
      </w:pPr>
    </w:p>
    <w:p w14:paraId="4D6E70CB" w14:textId="7B492EBA" w:rsidR="00391B37" w:rsidRPr="00E00CD5" w:rsidRDefault="00B062B7" w:rsidP="00391B37">
      <w:pPr>
        <w:spacing w:after="0" w:line="288" w:lineRule="auto"/>
        <w:contextualSpacing/>
        <w:jc w:val="both"/>
        <w:rPr>
          <w:rFonts w:ascii="Arial" w:eastAsia="+mn-ea" w:hAnsi="Arial" w:cs="Arial"/>
          <w:b/>
          <w:kern w:val="24"/>
          <w:lang w:val="es-ES_tradnl" w:eastAsia="es-MX"/>
        </w:rPr>
      </w:pPr>
      <w:r w:rsidRPr="00E00CD5">
        <w:rPr>
          <w:rFonts w:ascii="Arial" w:eastAsia="+mn-ea" w:hAnsi="Arial" w:cs="Arial"/>
          <w:b/>
          <w:kern w:val="24"/>
          <w:lang w:val="es-ES_tradnl" w:eastAsia="es-MX"/>
        </w:rPr>
        <w:t>Cifras oficiales v/s pronósticos EBC</w:t>
      </w:r>
    </w:p>
    <w:p w14:paraId="7AABE0D5" w14:textId="08FEAA83" w:rsidR="005C1B4F" w:rsidRPr="00E00CD5" w:rsidRDefault="005C1B4F" w:rsidP="005C1B4F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="Arial" w:eastAsia="Times New Roman" w:hAnsi="Arial" w:cs="Arial"/>
          <w:i/>
          <w:lang w:eastAsia="es-MX"/>
        </w:rPr>
      </w:pPr>
      <w:r w:rsidRPr="00E00CD5">
        <w:rPr>
          <w:rFonts w:ascii="Arial" w:eastAsia="+mn-ea" w:hAnsi="Arial" w:cs="Arial"/>
          <w:i/>
          <w:kern w:val="24"/>
          <w:lang w:val="es-ES" w:eastAsia="es-MX"/>
        </w:rPr>
        <w:t xml:space="preserve">De acuerdo al Fondo Monetario Internacional (FMI) el pronóstico de Inflación para 2017 es de 3.3%  mientras que para(EBC) es de 3.4% </w:t>
      </w:r>
    </w:p>
    <w:p w14:paraId="2749C47C" w14:textId="025F4052" w:rsidR="005C1B4F" w:rsidRPr="00E00CD5" w:rsidRDefault="005C1B4F" w:rsidP="005C1B4F">
      <w:pPr>
        <w:pStyle w:val="Prrafodelista"/>
        <w:numPr>
          <w:ilvl w:val="0"/>
          <w:numId w:val="15"/>
        </w:numPr>
        <w:spacing w:after="0" w:line="288" w:lineRule="auto"/>
        <w:jc w:val="both"/>
        <w:rPr>
          <w:rFonts w:ascii="Arial" w:eastAsia="+mn-ea" w:hAnsi="Arial" w:cs="Arial"/>
          <w:i/>
          <w:kern w:val="24"/>
          <w:lang w:val="es-ES_tradnl" w:eastAsia="es-MX"/>
        </w:rPr>
      </w:pPr>
      <w:r w:rsidRPr="00E00CD5">
        <w:rPr>
          <w:rFonts w:ascii="Arial" w:eastAsia="+mn-ea" w:hAnsi="Arial" w:cs="Arial"/>
          <w:i/>
          <w:kern w:val="24"/>
          <w:lang w:val="es-ES" w:eastAsia="es-MX"/>
        </w:rPr>
        <w:t>De acuerdo al Fondo Monetario Internacional (FMI) el pronóstico del PIB es de 2.9, mientras que para EBC es de 1.9</w:t>
      </w:r>
    </w:p>
    <w:p w14:paraId="6B3C463B" w14:textId="238108E3" w:rsidR="005C1B4F" w:rsidRPr="00E00CD5" w:rsidRDefault="005C1B4F" w:rsidP="005C1B4F">
      <w:pPr>
        <w:pStyle w:val="Prrafodelista"/>
        <w:numPr>
          <w:ilvl w:val="0"/>
          <w:numId w:val="15"/>
        </w:numPr>
        <w:spacing w:after="0" w:line="288" w:lineRule="auto"/>
        <w:jc w:val="both"/>
        <w:rPr>
          <w:rFonts w:ascii="Arial" w:eastAsia="+mn-ea" w:hAnsi="Arial" w:cs="Arial"/>
          <w:i/>
          <w:kern w:val="24"/>
          <w:lang w:val="es-ES_tradnl" w:eastAsia="es-MX"/>
        </w:rPr>
      </w:pPr>
      <w:r w:rsidRPr="00E00CD5">
        <w:rPr>
          <w:rFonts w:ascii="Arial" w:eastAsia="+mn-ea" w:hAnsi="Arial" w:cs="Arial"/>
          <w:i/>
          <w:kern w:val="24"/>
          <w:lang w:val="es-ES" w:eastAsia="es-MX"/>
        </w:rPr>
        <w:t xml:space="preserve">De acuerdo a </w:t>
      </w:r>
      <w:r w:rsidR="00E00CD5" w:rsidRPr="00E00CD5">
        <w:rPr>
          <w:rFonts w:ascii="Arial" w:hAnsi="Arial" w:cs="Arial"/>
          <w:i/>
        </w:rPr>
        <w:t>Criterios Generales de Política Económica</w:t>
      </w:r>
      <w:r w:rsidR="00E00CD5">
        <w:rPr>
          <w:rFonts w:ascii="Arial" w:hAnsi="Arial" w:cs="Arial"/>
          <w:i/>
        </w:rPr>
        <w:t xml:space="preserve"> (CGPE) el precio del</w:t>
      </w:r>
      <w:r w:rsidR="00E00CD5" w:rsidRPr="00E00CD5">
        <w:rPr>
          <w:rFonts w:ascii="Arial" w:hAnsi="Arial" w:cs="Arial"/>
          <w:i/>
        </w:rPr>
        <w:t xml:space="preserve"> petróleo para 2017, se estima en 42.0 mientras que EBC lo pronostica en 40.2</w:t>
      </w:r>
    </w:p>
    <w:p w14:paraId="6A9E8DF2" w14:textId="51C2F653" w:rsidR="00E00CD5" w:rsidRPr="00E00CD5" w:rsidRDefault="00E00CD5" w:rsidP="005C1B4F">
      <w:pPr>
        <w:pStyle w:val="Prrafodelista"/>
        <w:numPr>
          <w:ilvl w:val="0"/>
          <w:numId w:val="15"/>
        </w:numPr>
        <w:spacing w:after="0" w:line="288" w:lineRule="auto"/>
        <w:jc w:val="both"/>
        <w:rPr>
          <w:rFonts w:ascii="Arial" w:eastAsia="+mn-ea" w:hAnsi="Arial" w:cs="Arial"/>
          <w:i/>
          <w:kern w:val="24"/>
          <w:lang w:val="es-ES_tradnl" w:eastAsia="es-MX"/>
        </w:rPr>
      </w:pPr>
      <w:r w:rsidRPr="00E00CD5">
        <w:rPr>
          <w:rFonts w:ascii="Arial" w:eastAsia="+mn-ea" w:hAnsi="Arial" w:cs="Arial"/>
          <w:i/>
          <w:kern w:val="24"/>
          <w:lang w:val="es-ES" w:eastAsia="es-MX"/>
        </w:rPr>
        <w:t xml:space="preserve">De acuerdo a </w:t>
      </w:r>
      <w:r w:rsidRPr="00E00CD5">
        <w:rPr>
          <w:rFonts w:ascii="Arial" w:hAnsi="Arial" w:cs="Arial"/>
          <w:i/>
        </w:rPr>
        <w:t>Criterios Generales de Política Económica (CGPE) la Ta</w:t>
      </w:r>
      <w:r>
        <w:rPr>
          <w:rFonts w:ascii="Arial" w:hAnsi="Arial" w:cs="Arial"/>
          <w:i/>
        </w:rPr>
        <w:t xml:space="preserve">sa de Interés de Cetes a 28 día </w:t>
      </w:r>
      <w:r w:rsidRPr="00E00CD5">
        <w:rPr>
          <w:rFonts w:ascii="Arial" w:hAnsi="Arial" w:cs="Arial"/>
          <w:i/>
        </w:rPr>
        <w:t>será de 5.3, mientras que</w:t>
      </w:r>
      <w:r>
        <w:rPr>
          <w:rFonts w:ascii="Arial" w:hAnsi="Arial" w:cs="Arial"/>
          <w:i/>
        </w:rPr>
        <w:t xml:space="preserve"> EBC tiene un pronóstico de 5.1</w:t>
      </w:r>
    </w:p>
    <w:p w14:paraId="20EA0193" w14:textId="77777777" w:rsidR="00391B37" w:rsidRPr="00391B37" w:rsidRDefault="00391B37" w:rsidP="00391B37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es-MX"/>
        </w:rPr>
      </w:pPr>
    </w:p>
    <w:p w14:paraId="2418C43B" w14:textId="7D841A24" w:rsidR="00391B37" w:rsidRPr="00E00CD5" w:rsidRDefault="005C1B4F" w:rsidP="00457A4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s-MX"/>
        </w:rPr>
      </w:pPr>
      <w:r w:rsidRPr="00E00CD5">
        <w:rPr>
          <w:rFonts w:ascii="Arial" w:eastAsia="Times New Roman" w:hAnsi="Arial" w:cs="Arial"/>
          <w:b/>
          <w:lang w:eastAsia="es-MX"/>
        </w:rPr>
        <w:t>Finanzas Públicas 2016 (Secretaría de Hacienda y Crédito Público)</w:t>
      </w:r>
    </w:p>
    <w:p w14:paraId="7155CF07" w14:textId="77777777" w:rsidR="00391B37" w:rsidRPr="00391B37" w:rsidRDefault="00391B37" w:rsidP="00391B37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es-MX"/>
        </w:rPr>
      </w:pPr>
      <w:r w:rsidRPr="00391B37">
        <w:rPr>
          <w:rFonts w:ascii="Arial" w:eastAsia="+mn-ea" w:hAnsi="Arial" w:cs="Arial"/>
          <w:i/>
          <w:kern w:val="24"/>
          <w:lang w:val="es-ES" w:eastAsia="es-MX"/>
        </w:rPr>
        <w:t xml:space="preserve">Para el cierre se estima que el déficit presupuestario será de  554.2 </w:t>
      </w:r>
      <w:proofErr w:type="spellStart"/>
      <w:r w:rsidRPr="00391B37">
        <w:rPr>
          <w:rFonts w:ascii="Arial" w:eastAsia="+mn-ea" w:hAnsi="Arial" w:cs="Arial"/>
          <w:i/>
          <w:kern w:val="24"/>
          <w:lang w:val="es-ES" w:eastAsia="es-MX"/>
        </w:rPr>
        <w:t>mmp</w:t>
      </w:r>
      <w:proofErr w:type="spellEnd"/>
      <w:r w:rsidRPr="00391B37">
        <w:rPr>
          <w:rFonts w:ascii="Arial" w:eastAsia="+mn-ea" w:hAnsi="Arial" w:cs="Arial"/>
          <w:i/>
          <w:kern w:val="24"/>
          <w:lang w:val="es-ES" w:eastAsia="es-MX"/>
        </w:rPr>
        <w:t>, equivalentes al  2.9% del PIB</w:t>
      </w:r>
    </w:p>
    <w:p w14:paraId="681ABF61" w14:textId="77777777" w:rsidR="00391B37" w:rsidRPr="00391B37" w:rsidRDefault="00391B37" w:rsidP="00391B37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es-MX"/>
        </w:rPr>
      </w:pPr>
      <w:r w:rsidRPr="00391B37">
        <w:rPr>
          <w:rFonts w:ascii="Arial" w:eastAsia="+mn-ea" w:hAnsi="Arial" w:cs="Arial"/>
          <w:i/>
          <w:kern w:val="24"/>
          <w:lang w:val="es-ES" w:eastAsia="es-MX"/>
        </w:rPr>
        <w:t xml:space="preserve">Estimación de Ingresos por 4,664.4 </w:t>
      </w:r>
      <w:proofErr w:type="spellStart"/>
      <w:r w:rsidRPr="00391B37">
        <w:rPr>
          <w:rFonts w:ascii="Arial" w:eastAsia="+mn-ea" w:hAnsi="Arial" w:cs="Arial"/>
          <w:i/>
          <w:kern w:val="24"/>
          <w:lang w:val="es-ES" w:eastAsia="es-MX"/>
        </w:rPr>
        <w:t>mmp</w:t>
      </w:r>
      <w:proofErr w:type="spellEnd"/>
      <w:r w:rsidRPr="00391B37">
        <w:rPr>
          <w:rFonts w:ascii="Arial" w:eastAsia="+mn-ea" w:hAnsi="Arial" w:cs="Arial"/>
          <w:i/>
          <w:kern w:val="24"/>
          <w:lang w:val="es-ES" w:eastAsia="es-MX"/>
        </w:rPr>
        <w:t xml:space="preserve"> y egresos por 5,218.6  </w:t>
      </w:r>
      <w:proofErr w:type="spellStart"/>
      <w:r w:rsidRPr="00391B37">
        <w:rPr>
          <w:rFonts w:ascii="Arial" w:eastAsia="+mn-ea" w:hAnsi="Arial" w:cs="Arial"/>
          <w:i/>
          <w:kern w:val="24"/>
          <w:lang w:val="es-ES" w:eastAsia="es-MX"/>
        </w:rPr>
        <w:t>mmp</w:t>
      </w:r>
      <w:proofErr w:type="spellEnd"/>
    </w:p>
    <w:p w14:paraId="37E73871" w14:textId="77777777" w:rsidR="00391B37" w:rsidRPr="00391B37" w:rsidRDefault="00391B37" w:rsidP="00391B37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es-MX"/>
        </w:rPr>
      </w:pPr>
      <w:r w:rsidRPr="00391B37">
        <w:rPr>
          <w:rFonts w:ascii="Arial" w:eastAsia="+mn-ea" w:hAnsi="Arial" w:cs="Arial"/>
          <w:i/>
          <w:kern w:val="24"/>
          <w:lang w:val="es-ES" w:eastAsia="es-MX"/>
        </w:rPr>
        <w:t>Los ingresos petroleros serán inferiores en 8.2% con respecto al cierre de 2015.</w:t>
      </w:r>
    </w:p>
    <w:p w14:paraId="73B151BC" w14:textId="77777777" w:rsidR="00391B37" w:rsidRPr="00391B37" w:rsidRDefault="00391B37" w:rsidP="00391B37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es-MX"/>
        </w:rPr>
      </w:pPr>
      <w:r w:rsidRPr="00391B37">
        <w:rPr>
          <w:rFonts w:ascii="Arial" w:eastAsia="+mn-ea" w:hAnsi="Arial" w:cs="Arial"/>
          <w:i/>
          <w:kern w:val="24"/>
          <w:lang w:val="es-ES" w:eastAsia="es-MX"/>
        </w:rPr>
        <w:t>Los ingreso tributarios crecerán 6.1% en términos reales mientras que los no tributarios lo harán en 10.9%</w:t>
      </w:r>
    </w:p>
    <w:p w14:paraId="436E52E2" w14:textId="20F43248" w:rsidR="00C91D6D" w:rsidRPr="00E00CD5" w:rsidRDefault="00391B37" w:rsidP="00E00CD5">
      <w:pPr>
        <w:pStyle w:val="Prrafodelista"/>
        <w:numPr>
          <w:ilvl w:val="0"/>
          <w:numId w:val="14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es-MX"/>
        </w:rPr>
      </w:pPr>
      <w:r w:rsidRPr="00391B37">
        <w:rPr>
          <w:rFonts w:ascii="Arial" w:eastAsia="+mn-ea" w:hAnsi="Arial" w:cs="Arial"/>
          <w:i/>
          <w:kern w:val="24"/>
          <w:lang w:val="es-ES" w:eastAsia="es-MX"/>
        </w:rPr>
        <w:t xml:space="preserve">Por su parte, el gasto público programable aumentará 1.6% por lo que se ubicará en 435 </w:t>
      </w:r>
      <w:proofErr w:type="spellStart"/>
      <w:r w:rsidRPr="00391B37">
        <w:rPr>
          <w:rFonts w:ascii="Arial" w:eastAsia="+mn-ea" w:hAnsi="Arial" w:cs="Arial"/>
          <w:i/>
          <w:kern w:val="24"/>
          <w:lang w:val="es-ES" w:eastAsia="es-MX"/>
        </w:rPr>
        <w:t>mmp</w:t>
      </w:r>
      <w:proofErr w:type="spellEnd"/>
      <w:r w:rsidRPr="00391B37">
        <w:rPr>
          <w:rFonts w:ascii="Arial" w:eastAsia="+mn-ea" w:hAnsi="Arial" w:cs="Arial"/>
          <w:i/>
          <w:kern w:val="24"/>
          <w:lang w:val="es-ES" w:eastAsia="es-MX"/>
        </w:rPr>
        <w:t xml:space="preserve"> y el no programable será superior en 51.2 </w:t>
      </w:r>
      <w:proofErr w:type="spellStart"/>
      <w:r w:rsidRPr="00391B37">
        <w:rPr>
          <w:rFonts w:ascii="Arial" w:eastAsia="+mn-ea" w:hAnsi="Arial" w:cs="Arial"/>
          <w:i/>
          <w:kern w:val="24"/>
          <w:lang w:val="es-ES" w:eastAsia="es-MX"/>
        </w:rPr>
        <w:t>mmp</w:t>
      </w:r>
      <w:proofErr w:type="spellEnd"/>
      <w:r w:rsidRPr="00391B37">
        <w:rPr>
          <w:rFonts w:ascii="Arial" w:eastAsia="+mn-ea" w:hAnsi="Arial" w:cs="Arial"/>
          <w:i/>
          <w:kern w:val="24"/>
          <w:lang w:val="es-ES" w:eastAsia="es-MX"/>
        </w:rPr>
        <w:t xml:space="preserve"> con respecto al cierre de 2015</w:t>
      </w:r>
    </w:p>
    <w:p w14:paraId="3D35D009" w14:textId="77777777" w:rsidR="00C91D6D" w:rsidRPr="00C91D6D" w:rsidRDefault="00C91D6D" w:rsidP="00C91D6D">
      <w:pPr>
        <w:spacing w:after="0" w:line="288" w:lineRule="auto"/>
        <w:jc w:val="both"/>
        <w:rPr>
          <w:rFonts w:ascii="Arial" w:eastAsia="Times New Roman" w:hAnsi="Arial" w:cs="Arial"/>
          <w:i/>
          <w:lang w:eastAsia="es-MX"/>
        </w:rPr>
      </w:pPr>
    </w:p>
    <w:p w14:paraId="6AF069D3" w14:textId="77777777" w:rsidR="00391B37" w:rsidRPr="00391B37" w:rsidRDefault="00391B37" w:rsidP="00391B37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i/>
          <w:lang w:eastAsia="es-MX"/>
        </w:rPr>
      </w:pPr>
    </w:p>
    <w:p w14:paraId="3EAC5EC1" w14:textId="25E6EC7E" w:rsidR="0050197F" w:rsidRPr="00CA74CB" w:rsidRDefault="0050197F" w:rsidP="00CA74C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3116FD7C" w14:textId="34FB0E90" w:rsidR="005402D7" w:rsidRPr="0092479E" w:rsidRDefault="00F43781" w:rsidP="0092479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sz w:val="20"/>
          <w:szCs w:val="20"/>
          <w:lang w:eastAsia="es-MX"/>
        </w:rPr>
        <w:t>###</w:t>
      </w:r>
    </w:p>
    <w:p w14:paraId="1BF8A68F" w14:textId="77777777" w:rsidR="005402D7" w:rsidRDefault="005402D7" w:rsidP="00F4378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7069436B" w14:textId="77777777" w:rsidR="00BF4967" w:rsidRDefault="00BF4967" w:rsidP="005402D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0D54D8F" w14:textId="71105E25" w:rsidR="00CF3425" w:rsidRDefault="005402D7" w:rsidP="005402D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Acerca de la EBC</w:t>
      </w:r>
    </w:p>
    <w:p w14:paraId="79129A47" w14:textId="77777777" w:rsidR="00F43781" w:rsidRPr="00F43781" w:rsidRDefault="00F43781" w:rsidP="00F43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shd w:val="clear" w:color="auto" w:fill="FFFFFF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 más de 85 años de experiencia la Escuela Bancaria y Comercial (EBC), es la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Institución de Educación Superior Privada más antigua del país, especializada en Negocios. Cuya visión aspira a que la excelencia educativa sea base de su trabajo</w:t>
      </w:r>
      <w:r w:rsidRPr="00F43781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es-MX"/>
        </w:rPr>
        <w:t xml:space="preserve">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F43781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es-MX"/>
        </w:rPr>
        <w:t xml:space="preserve">: </w:t>
      </w:r>
      <w:hyperlink r:id="rId8" w:history="1">
        <w:r w:rsidRPr="00F43781">
          <w:rPr>
            <w:rFonts w:ascii="Arial" w:eastAsia="Times New Roman" w:hAnsi="Arial" w:cs="Arial"/>
            <w:b/>
            <w:i/>
            <w:color w:val="0070C0"/>
            <w:sz w:val="20"/>
            <w:szCs w:val="20"/>
            <w:u w:val="single"/>
            <w:shd w:val="clear" w:color="auto" w:fill="FFFFFF"/>
            <w:lang w:eastAsia="es-MX"/>
          </w:rPr>
          <w:t>www.ebc.mx</w:t>
        </w:r>
      </w:hyperlink>
    </w:p>
    <w:p w14:paraId="59B58549" w14:textId="77777777" w:rsidR="00F43781" w:rsidRPr="00F43781" w:rsidRDefault="00F43781" w:rsidP="00F437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Coordinadora Medios EBC                                      Directora Relaciones Institucionales                                  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Carolina Nacif                                                             América Anguiano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br/>
      </w:r>
      <w:hyperlink r:id="rId9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>c.nacif@ebc.edu.mx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                           </w:t>
      </w:r>
      <w:hyperlink r:id="rId10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 xml:space="preserve">a.anguiano002@ebc.edu.mx                                                                                                       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3683-2400                                                                  3683-2400</w:t>
      </w:r>
    </w:p>
    <w:p w14:paraId="4D8011D5" w14:textId="77777777" w:rsidR="00F43781" w:rsidRDefault="00F43781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p w14:paraId="41E34B21" w14:textId="77777777" w:rsidR="0009412C" w:rsidRPr="00540261" w:rsidRDefault="0009412C" w:rsidP="00540261">
      <w:pPr>
        <w:spacing w:line="240" w:lineRule="auto"/>
        <w:jc w:val="both"/>
        <w:rPr>
          <w:rFonts w:ascii="Arial" w:eastAsia="Times New Roman" w:hAnsi="Arial" w:cs="Arial"/>
          <w:b/>
          <w:bCs/>
          <w:color w:val="0B93D1"/>
          <w:lang w:eastAsia="es-MX"/>
        </w:rPr>
      </w:pPr>
    </w:p>
    <w:sectPr w:rsidR="0009412C" w:rsidRPr="00540261" w:rsidSect="00540261">
      <w:headerReference w:type="default" r:id="rId11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4A76" w14:textId="77777777" w:rsidR="00A87B0D" w:rsidRDefault="00A87B0D" w:rsidP="00C74F92">
      <w:pPr>
        <w:spacing w:after="0" w:line="240" w:lineRule="auto"/>
      </w:pPr>
      <w:r>
        <w:separator/>
      </w:r>
    </w:p>
  </w:endnote>
  <w:endnote w:type="continuationSeparator" w:id="0">
    <w:p w14:paraId="70D3FF44" w14:textId="77777777" w:rsidR="00A87B0D" w:rsidRDefault="00A87B0D" w:rsidP="00C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C304" w14:textId="77777777" w:rsidR="00A87B0D" w:rsidRDefault="00A87B0D" w:rsidP="00C74F92">
      <w:pPr>
        <w:spacing w:after="0" w:line="240" w:lineRule="auto"/>
      </w:pPr>
      <w:r>
        <w:separator/>
      </w:r>
    </w:p>
  </w:footnote>
  <w:footnote w:type="continuationSeparator" w:id="0">
    <w:p w14:paraId="739E45FB" w14:textId="77777777" w:rsidR="00A87B0D" w:rsidRDefault="00A87B0D" w:rsidP="00C7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D05C" w14:textId="77777777" w:rsidR="00C74F92" w:rsidRPr="00C74F92" w:rsidRDefault="00C74F92" w:rsidP="00C74F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4210B1" wp14:editId="6C873BC0">
          <wp:simplePos x="0" y="0"/>
          <wp:positionH relativeFrom="column">
            <wp:posOffset>-1028065</wp:posOffset>
          </wp:positionH>
          <wp:positionV relativeFrom="paragraph">
            <wp:posOffset>-464185</wp:posOffset>
          </wp:positionV>
          <wp:extent cx="7771765" cy="991204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Formato-AVISO-Plantilla-_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991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71F"/>
    <w:multiLevelType w:val="hybridMultilevel"/>
    <w:tmpl w:val="B4222F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F7753"/>
    <w:multiLevelType w:val="hybridMultilevel"/>
    <w:tmpl w:val="0888C1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20184"/>
    <w:multiLevelType w:val="hybridMultilevel"/>
    <w:tmpl w:val="8A067CE2"/>
    <w:lvl w:ilvl="0" w:tplc="74DCA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0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8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0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A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2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2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705D4A"/>
    <w:multiLevelType w:val="hybridMultilevel"/>
    <w:tmpl w:val="41EECC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75A5"/>
    <w:multiLevelType w:val="hybridMultilevel"/>
    <w:tmpl w:val="187A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4357"/>
    <w:multiLevelType w:val="hybridMultilevel"/>
    <w:tmpl w:val="5DD0880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6F311B"/>
    <w:multiLevelType w:val="multilevel"/>
    <w:tmpl w:val="0D1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D084C"/>
    <w:multiLevelType w:val="hybridMultilevel"/>
    <w:tmpl w:val="11F08B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022A7D"/>
    <w:multiLevelType w:val="hybridMultilevel"/>
    <w:tmpl w:val="95DA4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E6DFE"/>
    <w:multiLevelType w:val="hybridMultilevel"/>
    <w:tmpl w:val="08F86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4A2A7B"/>
    <w:multiLevelType w:val="hybridMultilevel"/>
    <w:tmpl w:val="56DA7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0676"/>
    <w:multiLevelType w:val="hybridMultilevel"/>
    <w:tmpl w:val="1F78ABC2"/>
    <w:lvl w:ilvl="0" w:tplc="C5FC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6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3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2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0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E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0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88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8D5908"/>
    <w:multiLevelType w:val="hybridMultilevel"/>
    <w:tmpl w:val="9A4A7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F6CFA"/>
    <w:multiLevelType w:val="hybridMultilevel"/>
    <w:tmpl w:val="F6CCA5B4"/>
    <w:lvl w:ilvl="0" w:tplc="81E4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0E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26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C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E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E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25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C144EF"/>
    <w:multiLevelType w:val="hybridMultilevel"/>
    <w:tmpl w:val="A6D6D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6"/>
    <w:rsid w:val="00072244"/>
    <w:rsid w:val="0009412C"/>
    <w:rsid w:val="000F7EAD"/>
    <w:rsid w:val="00121827"/>
    <w:rsid w:val="001431B7"/>
    <w:rsid w:val="001B7EAF"/>
    <w:rsid w:val="001C79BF"/>
    <w:rsid w:val="002266EF"/>
    <w:rsid w:val="002C5864"/>
    <w:rsid w:val="00336B88"/>
    <w:rsid w:val="00391B37"/>
    <w:rsid w:val="003B0CCA"/>
    <w:rsid w:val="003C2018"/>
    <w:rsid w:val="003D0869"/>
    <w:rsid w:val="004155CC"/>
    <w:rsid w:val="00457A43"/>
    <w:rsid w:val="004B4EF0"/>
    <w:rsid w:val="004D6DB8"/>
    <w:rsid w:val="004E7B40"/>
    <w:rsid w:val="004F0976"/>
    <w:rsid w:val="0050197F"/>
    <w:rsid w:val="00507D0C"/>
    <w:rsid w:val="005111CB"/>
    <w:rsid w:val="00540261"/>
    <w:rsid w:val="005402D7"/>
    <w:rsid w:val="00563E42"/>
    <w:rsid w:val="00570555"/>
    <w:rsid w:val="005C1B4F"/>
    <w:rsid w:val="005F188E"/>
    <w:rsid w:val="006274A1"/>
    <w:rsid w:val="006342B6"/>
    <w:rsid w:val="00645BA1"/>
    <w:rsid w:val="00667930"/>
    <w:rsid w:val="00677842"/>
    <w:rsid w:val="006C0846"/>
    <w:rsid w:val="006D5859"/>
    <w:rsid w:val="00734191"/>
    <w:rsid w:val="00751B65"/>
    <w:rsid w:val="007808C6"/>
    <w:rsid w:val="00792D0E"/>
    <w:rsid w:val="007D0C5E"/>
    <w:rsid w:val="00817DB0"/>
    <w:rsid w:val="008921E0"/>
    <w:rsid w:val="008F1FEC"/>
    <w:rsid w:val="00913A46"/>
    <w:rsid w:val="00914428"/>
    <w:rsid w:val="0092479E"/>
    <w:rsid w:val="00934A17"/>
    <w:rsid w:val="009468DE"/>
    <w:rsid w:val="009935B6"/>
    <w:rsid w:val="00A461AE"/>
    <w:rsid w:val="00A87B0D"/>
    <w:rsid w:val="00AA4C2F"/>
    <w:rsid w:val="00AE1FFD"/>
    <w:rsid w:val="00AE4CB9"/>
    <w:rsid w:val="00B062B7"/>
    <w:rsid w:val="00B22E0C"/>
    <w:rsid w:val="00B77C7E"/>
    <w:rsid w:val="00B868AC"/>
    <w:rsid w:val="00BB57ED"/>
    <w:rsid w:val="00BC75C6"/>
    <w:rsid w:val="00BD03C0"/>
    <w:rsid w:val="00BF4967"/>
    <w:rsid w:val="00C74F92"/>
    <w:rsid w:val="00C76A0D"/>
    <w:rsid w:val="00C91D6D"/>
    <w:rsid w:val="00C924CF"/>
    <w:rsid w:val="00CA74CB"/>
    <w:rsid w:val="00CC28BD"/>
    <w:rsid w:val="00CE75DC"/>
    <w:rsid w:val="00CF3425"/>
    <w:rsid w:val="00D05FD5"/>
    <w:rsid w:val="00D24CF6"/>
    <w:rsid w:val="00D45A2E"/>
    <w:rsid w:val="00DC6DAC"/>
    <w:rsid w:val="00E00CD5"/>
    <w:rsid w:val="00E36249"/>
    <w:rsid w:val="00E42368"/>
    <w:rsid w:val="00E566B9"/>
    <w:rsid w:val="00E82D6F"/>
    <w:rsid w:val="00EB1C20"/>
    <w:rsid w:val="00F050BD"/>
    <w:rsid w:val="00F14EA9"/>
    <w:rsid w:val="00F22695"/>
    <w:rsid w:val="00F43781"/>
    <w:rsid w:val="00F801A8"/>
    <w:rsid w:val="00F829C6"/>
    <w:rsid w:val="00FB3C6B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20A45"/>
  <w15:docId w15:val="{EC403B8A-C008-4C80-982E-7B7E20A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08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F92"/>
  </w:style>
  <w:style w:type="paragraph" w:styleId="Piedepgina">
    <w:name w:val="footer"/>
    <w:basedOn w:val="Normal"/>
    <w:link w:val="Piedepgina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92"/>
  </w:style>
  <w:style w:type="paragraph" w:styleId="Textodeglobo">
    <w:name w:val="Balloon Text"/>
    <w:basedOn w:val="Normal"/>
    <w:link w:val="TextodegloboCar"/>
    <w:uiPriority w:val="99"/>
    <w:semiHidden/>
    <w:unhideWhenUsed/>
    <w:rsid w:val="00C74F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92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F1FEC"/>
    <w:pPr>
      <w:spacing w:after="0" w:line="264" w:lineRule="auto"/>
    </w:pPr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8F1FEC"/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7808C6"/>
    <w:rPr>
      <w:b/>
      <w:bCs/>
    </w:rPr>
  </w:style>
  <w:style w:type="character" w:customStyle="1" w:styleId="apple-converted-space">
    <w:name w:val="apple-converted-space"/>
    <w:basedOn w:val="Fuentedeprrafopredeter"/>
    <w:rsid w:val="007808C6"/>
  </w:style>
  <w:style w:type="paragraph" w:styleId="Prrafodelista">
    <w:name w:val="List Paragraph"/>
    <w:basedOn w:val="Normal"/>
    <w:uiPriority w:val="34"/>
    <w:qFormat/>
    <w:rsid w:val="002266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lacionesp\Desktop\www.ebc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anguiano002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nacif@ebc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19E6-84E0-4720-BAAB-8C2E75C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De Prado Losada</dc:creator>
  <cp:lastModifiedBy>Carolina Nacif Tajonar</cp:lastModifiedBy>
  <cp:revision>6</cp:revision>
  <cp:lastPrinted>2016-05-18T19:46:00Z</cp:lastPrinted>
  <dcterms:created xsi:type="dcterms:W3CDTF">2016-12-07T20:26:00Z</dcterms:created>
  <dcterms:modified xsi:type="dcterms:W3CDTF">2016-12-08T21:53:00Z</dcterms:modified>
</cp:coreProperties>
</file>