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E2009" w14:textId="306462A9" w:rsidR="00176BDF" w:rsidRPr="00A61ED7" w:rsidRDefault="00EE6A27" w:rsidP="00A61ED7">
      <w:r>
        <w:rPr>
          <w:noProof/>
          <w:lang w:val="es-MX" w:eastAsia="es-MX"/>
        </w:rPr>
        <mc:AlternateContent>
          <mc:Choice Requires="wps">
            <w:drawing>
              <wp:anchor distT="0" distB="0" distL="114300" distR="114300" simplePos="0" relativeHeight="251659264" behindDoc="0" locked="0" layoutInCell="1" allowOverlap="1" wp14:anchorId="5FDC1AD1" wp14:editId="44A73792">
                <wp:simplePos x="0" y="0"/>
                <wp:positionH relativeFrom="column">
                  <wp:posOffset>-229235</wp:posOffset>
                </wp:positionH>
                <wp:positionV relativeFrom="paragraph">
                  <wp:posOffset>244475</wp:posOffset>
                </wp:positionV>
                <wp:extent cx="6057900" cy="342900"/>
                <wp:effectExtent l="0" t="0" r="0" b="12700"/>
                <wp:wrapSquare wrapText="bothSides"/>
                <wp:docPr id="2" name="Cuadro de texto 2"/>
                <wp:cNvGraphicFramePr/>
                <a:graphic xmlns:a="http://schemas.openxmlformats.org/drawingml/2006/main">
                  <a:graphicData uri="http://schemas.microsoft.com/office/word/2010/wordprocessingShape">
                    <wps:wsp>
                      <wps:cNvSpPr txBox="1"/>
                      <wps:spPr>
                        <a:xfrm>
                          <a:off x="0" y="0"/>
                          <a:ext cx="605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01671" w14:textId="18F8842F" w:rsidR="00920CAF" w:rsidRPr="00C20DAC" w:rsidRDefault="00CA7064" w:rsidP="0014243C">
                            <w:pPr>
                              <w:jc w:val="center"/>
                              <w:rPr>
                                <w:rFonts w:ascii="Helvetica" w:hAnsi="Helvetica"/>
                                <w:b/>
                                <w:bCs/>
                                <w:color w:val="1F497D" w:themeColor="text2"/>
                                <w:spacing w:val="200"/>
                              </w:rPr>
                            </w:pPr>
                            <w:r>
                              <w:rPr>
                                <w:rFonts w:ascii="Helvetica" w:hAnsi="Helvetica"/>
                                <w:b/>
                                <w:bCs/>
                                <w:color w:val="1F497D" w:themeColor="text2"/>
                                <w:spacing w:val="200"/>
                              </w:rPr>
                              <w:t>ARTÍCULO DE OPINIÓN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C1AD1" id="_x0000_t202" coordsize="21600,21600" o:spt="202" path="m,l,21600r21600,l21600,xe">
                <v:stroke joinstyle="miter"/>
                <v:path gradientshapeok="t" o:connecttype="rect"/>
              </v:shapetype>
              <v:shape id="Cuadro de texto 2" o:spid="_x0000_s1026" type="#_x0000_t202" style="position:absolute;margin-left:-18.05pt;margin-top:19.25pt;width:47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PCrgIAAKw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" filled="f" stroked="f">
                <v:textbox>
                  <w:txbxContent>
                    <w:p w14:paraId="32701671" w14:textId="18F8842F" w:rsidR="00920CAF" w:rsidRPr="00C20DAC" w:rsidRDefault="00CA7064" w:rsidP="0014243C">
                      <w:pPr>
                        <w:jc w:val="center"/>
                        <w:rPr>
                          <w:rFonts w:ascii="Helvetica" w:hAnsi="Helvetica"/>
                          <w:b/>
                          <w:bCs/>
                          <w:color w:val="1F497D" w:themeColor="text2"/>
                          <w:spacing w:val="200"/>
                        </w:rPr>
                      </w:pPr>
                      <w:r>
                        <w:rPr>
                          <w:rFonts w:ascii="Helvetica" w:hAnsi="Helvetica"/>
                          <w:b/>
                          <w:bCs/>
                          <w:color w:val="1F497D" w:themeColor="text2"/>
                          <w:spacing w:val="200"/>
                        </w:rPr>
                        <w:t>ARTÍCULO DE OPINIÓN</w:t>
                      </w:r>
                    </w:p>
                  </w:txbxContent>
                </v:textbox>
                <w10:wrap type="square"/>
              </v:shape>
            </w:pict>
          </mc:Fallback>
        </mc:AlternateContent>
      </w:r>
      <w:r w:rsidR="00C20DAC">
        <w:rPr>
          <w:noProof/>
          <w:lang w:val="es-MX" w:eastAsia="es-MX"/>
        </w:rPr>
        <w:drawing>
          <wp:anchor distT="0" distB="0" distL="114300" distR="114300" simplePos="0" relativeHeight="251661312" behindDoc="1" locked="0" layoutInCell="1" allowOverlap="1" wp14:anchorId="1A9D0D69" wp14:editId="65FA076D">
            <wp:simplePos x="0" y="0"/>
            <wp:positionH relativeFrom="column">
              <wp:posOffset>2055646</wp:posOffset>
            </wp:positionH>
            <wp:positionV relativeFrom="paragraph">
              <wp:posOffset>-554399</wp:posOffset>
            </wp:positionV>
            <wp:extent cx="1490076" cy="636292"/>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BC.jpg"/>
                    <pic:cNvPicPr/>
                  </pic:nvPicPr>
                  <pic:blipFill>
                    <a:blip r:embed="rId8">
                      <a:extLst>
                        <a:ext uri="{28A0092B-C50C-407E-A947-70E740481C1C}">
                          <a14:useLocalDpi xmlns:a14="http://schemas.microsoft.com/office/drawing/2010/main" val="0"/>
                        </a:ext>
                      </a:extLst>
                    </a:blip>
                    <a:stretch>
                      <a:fillRect/>
                    </a:stretch>
                  </pic:blipFill>
                  <pic:spPr>
                    <a:xfrm>
                      <a:off x="0" y="0"/>
                      <a:ext cx="1490076" cy="636292"/>
                    </a:xfrm>
                    <a:prstGeom prst="rect">
                      <a:avLst/>
                    </a:prstGeom>
                  </pic:spPr>
                </pic:pic>
              </a:graphicData>
            </a:graphic>
            <wp14:sizeRelH relativeFrom="page">
              <wp14:pctWidth>0</wp14:pctWidth>
            </wp14:sizeRelH>
            <wp14:sizeRelV relativeFrom="page">
              <wp14:pctHeight>0</wp14:pctHeight>
            </wp14:sizeRelV>
          </wp:anchor>
        </w:drawing>
      </w:r>
    </w:p>
    <w:p w14:paraId="0899F7E6" w14:textId="16BBA0C4" w:rsidR="00761AF8" w:rsidRDefault="00CA7064" w:rsidP="00775ADC">
      <w:pPr>
        <w:shd w:val="clear" w:color="auto" w:fill="FFFFFF"/>
        <w:jc w:val="center"/>
        <w:rPr>
          <w:rFonts w:ascii="Arial" w:eastAsia="Times New Roman" w:hAnsi="Arial" w:cs="Arial"/>
          <w:b/>
          <w:bCs/>
          <w:color w:val="222222"/>
          <w:sz w:val="32"/>
          <w:szCs w:val="32"/>
          <w:lang w:val="es-MX" w:eastAsia="es-MX"/>
        </w:rPr>
      </w:pPr>
      <w:r>
        <w:rPr>
          <w:rFonts w:ascii="Arial" w:eastAsia="Times New Roman" w:hAnsi="Arial" w:cs="Arial"/>
          <w:b/>
          <w:bCs/>
          <w:color w:val="222222"/>
          <w:sz w:val="32"/>
          <w:szCs w:val="32"/>
          <w:lang w:val="es-MX" w:eastAsia="es-MX"/>
        </w:rPr>
        <w:t xml:space="preserve"> </w:t>
      </w:r>
      <w:r w:rsidR="000C73E6">
        <w:rPr>
          <w:rFonts w:ascii="Arial" w:eastAsia="Times New Roman" w:hAnsi="Arial" w:cs="Arial"/>
          <w:b/>
          <w:bCs/>
          <w:color w:val="222222"/>
          <w:sz w:val="32"/>
          <w:szCs w:val="32"/>
          <w:lang w:val="es-MX" w:eastAsia="es-MX"/>
        </w:rPr>
        <w:t>Control de riesgos, Antilavado y P</w:t>
      </w:r>
      <w:r w:rsidR="00555604">
        <w:rPr>
          <w:rFonts w:ascii="Arial" w:eastAsia="Times New Roman" w:hAnsi="Arial" w:cs="Arial"/>
          <w:b/>
          <w:bCs/>
          <w:color w:val="222222"/>
          <w:sz w:val="32"/>
          <w:szCs w:val="32"/>
          <w:lang w:val="es-MX" w:eastAsia="es-MX"/>
        </w:rPr>
        <w:t>revención L</w:t>
      </w:r>
      <w:r w:rsidRPr="00CA7064">
        <w:rPr>
          <w:rFonts w:ascii="Arial" w:eastAsia="Times New Roman" w:hAnsi="Arial" w:cs="Arial"/>
          <w:b/>
          <w:bCs/>
          <w:color w:val="222222"/>
          <w:sz w:val="32"/>
          <w:szCs w:val="32"/>
          <w:lang w:val="es-MX" w:eastAsia="es-MX"/>
        </w:rPr>
        <w:t>egal</w:t>
      </w:r>
    </w:p>
    <w:p w14:paraId="37134E41" w14:textId="2B72B44A" w:rsidR="00555604" w:rsidRPr="00B379A4" w:rsidRDefault="00555604" w:rsidP="00775ADC">
      <w:pPr>
        <w:shd w:val="clear" w:color="auto" w:fill="FFFFFF"/>
        <w:jc w:val="center"/>
        <w:rPr>
          <w:rFonts w:ascii="Arial" w:eastAsia="Times New Roman" w:hAnsi="Arial" w:cs="Arial"/>
          <w:b/>
          <w:bCs/>
          <w:color w:val="222222"/>
          <w:sz w:val="32"/>
          <w:szCs w:val="32"/>
          <w:lang w:val="es-MX" w:eastAsia="es-MX"/>
        </w:rPr>
      </w:pPr>
      <w:r>
        <w:rPr>
          <w:rFonts w:ascii="Arial" w:eastAsia="Times New Roman" w:hAnsi="Arial" w:cs="Arial"/>
          <w:b/>
          <w:bCs/>
          <w:color w:val="222222"/>
          <w:sz w:val="32"/>
          <w:szCs w:val="32"/>
          <w:lang w:val="es-MX" w:eastAsia="es-MX"/>
        </w:rPr>
        <w:t xml:space="preserve">  en las Empresas</w:t>
      </w:r>
    </w:p>
    <w:p w14:paraId="24973707" w14:textId="77777777" w:rsidR="00D42686" w:rsidRPr="00A61ED7" w:rsidRDefault="00D42686" w:rsidP="00D42686">
      <w:pPr>
        <w:shd w:val="clear" w:color="auto" w:fill="FFFFFF"/>
        <w:jc w:val="center"/>
        <w:rPr>
          <w:rFonts w:ascii="Arial" w:eastAsia="Times New Roman" w:hAnsi="Arial" w:cs="Arial"/>
          <w:b/>
          <w:sz w:val="10"/>
          <w:szCs w:val="28"/>
          <w:lang w:val="es-MX" w:eastAsia="es-MX"/>
        </w:rPr>
      </w:pPr>
    </w:p>
    <w:p w14:paraId="297CDC90" w14:textId="6FB86F1B" w:rsidR="00CA7064" w:rsidRPr="00CA7064" w:rsidRDefault="00CA7064" w:rsidP="00CA7064">
      <w:pPr>
        <w:pStyle w:val="Prrafodelista"/>
        <w:numPr>
          <w:ilvl w:val="0"/>
          <w:numId w:val="24"/>
        </w:numPr>
        <w:spacing w:after="160" w:line="259" w:lineRule="auto"/>
        <w:jc w:val="both"/>
        <w:rPr>
          <w:rFonts w:ascii="Arial" w:eastAsia="Calibri" w:hAnsi="Arial" w:cs="Arial"/>
          <w:i/>
          <w:sz w:val="22"/>
          <w:szCs w:val="22"/>
          <w:lang w:val="es-MX" w:eastAsia="en-US"/>
        </w:rPr>
      </w:pPr>
      <w:r w:rsidRPr="00CA7064">
        <w:rPr>
          <w:rFonts w:ascii="Arial" w:eastAsia="Calibri" w:hAnsi="Arial" w:cs="Arial"/>
          <w:i/>
          <w:sz w:val="22"/>
          <w:szCs w:val="22"/>
          <w:lang w:val="es-MX" w:eastAsia="en-US"/>
        </w:rPr>
        <w:t>El lavado de dinero es uno de los delitos más graves de la criminalidad organizada contemporánea.</w:t>
      </w:r>
    </w:p>
    <w:p w14:paraId="06D0DBDD" w14:textId="77777777" w:rsidR="00CA7064" w:rsidRPr="00CA7064" w:rsidRDefault="00CA7064" w:rsidP="00CA7064">
      <w:pPr>
        <w:pStyle w:val="Prrafodelista"/>
        <w:numPr>
          <w:ilvl w:val="0"/>
          <w:numId w:val="11"/>
        </w:numPr>
        <w:jc w:val="both"/>
        <w:rPr>
          <w:rFonts w:ascii="Arial" w:eastAsia="Times New Roman" w:hAnsi="Arial" w:cs="Arial"/>
          <w:i/>
          <w:sz w:val="22"/>
          <w:szCs w:val="22"/>
          <w:lang w:val="es-ES" w:eastAsia="es-MX"/>
        </w:rPr>
      </w:pPr>
      <w:r w:rsidRPr="00CA7064">
        <w:rPr>
          <w:rFonts w:ascii="Arial" w:eastAsia="Times New Roman" w:hAnsi="Arial" w:cs="Arial"/>
          <w:i/>
          <w:sz w:val="22"/>
          <w:szCs w:val="22"/>
          <w:lang w:val="es-ES" w:eastAsia="es-MX"/>
        </w:rPr>
        <w:t>En México se blanquean entre 25 mil millones y 62 mil millones de dólares al año, con un promedio estimado de 50 mil millones, lo que coloca al país en el tercer lugar en este delito después de China y Rusia. (ONU)</w:t>
      </w:r>
    </w:p>
    <w:p w14:paraId="18CDCB09" w14:textId="76A124DD" w:rsidR="00CA7064" w:rsidRPr="00555604" w:rsidRDefault="00CA7064" w:rsidP="00555604">
      <w:pPr>
        <w:pStyle w:val="Prrafodelista"/>
        <w:numPr>
          <w:ilvl w:val="0"/>
          <w:numId w:val="11"/>
        </w:numPr>
        <w:jc w:val="both"/>
        <w:rPr>
          <w:rFonts w:ascii="Arial" w:eastAsia="Times New Roman" w:hAnsi="Arial" w:cs="Arial"/>
          <w:i/>
          <w:sz w:val="22"/>
          <w:szCs w:val="22"/>
          <w:lang w:val="es-ES" w:eastAsia="es-MX"/>
        </w:rPr>
      </w:pPr>
      <w:r w:rsidRPr="00CA7064">
        <w:rPr>
          <w:rFonts w:ascii="Arial" w:eastAsia="Times New Roman" w:hAnsi="Arial" w:cs="Arial"/>
          <w:i/>
          <w:sz w:val="22"/>
          <w:szCs w:val="22"/>
          <w:lang w:val="es-ES" w:eastAsia="es-MX"/>
        </w:rPr>
        <w:t xml:space="preserve">Las actividades ilegales producto del crimen </w:t>
      </w:r>
      <w:proofErr w:type="gramStart"/>
      <w:r w:rsidRPr="00CA7064">
        <w:rPr>
          <w:rFonts w:ascii="Arial" w:eastAsia="Times New Roman" w:hAnsi="Arial" w:cs="Arial"/>
          <w:i/>
          <w:sz w:val="22"/>
          <w:szCs w:val="22"/>
          <w:lang w:val="es-ES" w:eastAsia="es-MX"/>
        </w:rPr>
        <w:t>organizado,</w:t>
      </w:r>
      <w:proofErr w:type="gramEnd"/>
      <w:r w:rsidRPr="00CA7064">
        <w:rPr>
          <w:rFonts w:ascii="Arial" w:eastAsia="Times New Roman" w:hAnsi="Arial" w:cs="Arial"/>
          <w:i/>
          <w:sz w:val="22"/>
          <w:szCs w:val="22"/>
          <w:lang w:val="es-ES" w:eastAsia="es-MX"/>
        </w:rPr>
        <w:t xml:space="preserve"> suman ganancias anuales de más de dos billones de dólares (UNDOC)</w:t>
      </w:r>
    </w:p>
    <w:p w14:paraId="51D1FDBF" w14:textId="4225FAE5" w:rsidR="00CA7064" w:rsidRDefault="00CA7064" w:rsidP="00CA7064">
      <w:pPr>
        <w:jc w:val="both"/>
        <w:rPr>
          <w:rFonts w:ascii="Arial" w:eastAsia="Cambria" w:hAnsi="Arial" w:cs="Arial"/>
          <w:shd w:val="clear" w:color="auto" w:fill="FFFFFF"/>
          <w:lang w:eastAsia="es-MX"/>
        </w:rPr>
      </w:pPr>
    </w:p>
    <w:p w14:paraId="6EFD685C" w14:textId="66E8B19F" w:rsidR="00CA7064" w:rsidRPr="00CA7064" w:rsidRDefault="00CA7064" w:rsidP="00CA7064">
      <w:pPr>
        <w:jc w:val="both"/>
        <w:rPr>
          <w:rFonts w:ascii="Arial" w:eastAsia="Cambria" w:hAnsi="Arial" w:cs="Arial"/>
          <w:shd w:val="clear" w:color="auto" w:fill="FFFFFF"/>
          <w:lang w:val="es-MX" w:eastAsia="es-MX"/>
        </w:rPr>
      </w:pPr>
      <w:r w:rsidRPr="00CA7064">
        <w:rPr>
          <w:rFonts w:ascii="Arial" w:eastAsia="Cambria" w:hAnsi="Arial" w:cs="Arial"/>
          <w:sz w:val="20"/>
          <w:szCs w:val="20"/>
          <w:shd w:val="clear" w:color="auto" w:fill="FFFFFF"/>
          <w:lang w:val="es-MX" w:eastAsia="es-MX"/>
        </w:rPr>
        <w:t>Por:</w:t>
      </w:r>
      <w:r w:rsidRPr="00CA7064">
        <w:rPr>
          <w:rFonts w:ascii="Arial" w:eastAsia="Cambria" w:hAnsi="Arial" w:cs="Arial"/>
          <w:shd w:val="clear" w:color="auto" w:fill="FFFFFF"/>
          <w:lang w:val="es-MX" w:eastAsia="es-MX"/>
        </w:rPr>
        <w:t xml:space="preserve"> </w:t>
      </w:r>
      <w:r w:rsidRPr="00CA7064">
        <w:rPr>
          <w:rFonts w:ascii="Arial" w:eastAsia="Cambria" w:hAnsi="Arial" w:cs="Arial"/>
          <w:i/>
          <w:sz w:val="20"/>
          <w:szCs w:val="20"/>
          <w:shd w:val="clear" w:color="auto" w:fill="FFFFFF"/>
          <w:lang w:val="es-MX" w:eastAsia="es-MX"/>
        </w:rPr>
        <w:t>Dra. Carmen Karina Tapia Iturriaga, Experta en Finanzas y Catedrática de Posgrado en la EBC</w:t>
      </w:r>
    </w:p>
    <w:p w14:paraId="461704F9" w14:textId="77777777" w:rsidR="00CA7064" w:rsidRDefault="00CA7064" w:rsidP="00CA7064">
      <w:pPr>
        <w:jc w:val="both"/>
        <w:rPr>
          <w:rFonts w:ascii="Arial" w:eastAsia="Cambria" w:hAnsi="Arial" w:cs="Arial"/>
          <w:shd w:val="clear" w:color="auto" w:fill="FFFFFF"/>
          <w:lang w:eastAsia="es-MX"/>
        </w:rPr>
      </w:pPr>
    </w:p>
    <w:p w14:paraId="01FC1B7A" w14:textId="2616C00A" w:rsid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shd w:val="clear" w:color="auto" w:fill="FFFFFF"/>
          <w:lang w:eastAsia="es-MX"/>
        </w:rPr>
        <w:t>Las alarmantes cifras relativas que reporta hoy el país como lo son los índices de siniestralidad en incremento en: el secuestro, homicidios, extorsión y robo en negocios, han llevado a las autoridades a ejercer mayores facultades en la revisión dentro de las organizaciones para atacar la denominada delincuencia organizada.</w:t>
      </w:r>
    </w:p>
    <w:p w14:paraId="7CCE8D54" w14:textId="77777777" w:rsidR="00CA7064" w:rsidRPr="00CA7064" w:rsidRDefault="00CA7064" w:rsidP="00CA7064">
      <w:pPr>
        <w:jc w:val="both"/>
        <w:rPr>
          <w:rFonts w:ascii="Arial" w:eastAsia="Cambria" w:hAnsi="Arial" w:cs="Arial"/>
          <w:shd w:val="clear" w:color="auto" w:fill="FFFFFF"/>
          <w:lang w:eastAsia="es-MX"/>
        </w:rPr>
      </w:pPr>
    </w:p>
    <w:p w14:paraId="3FB6C63A" w14:textId="77777777" w:rsidR="00CA7064" w:rsidRP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b/>
          <w:shd w:val="clear" w:color="auto" w:fill="FFFFFF"/>
          <w:lang w:eastAsia="es-MX"/>
        </w:rPr>
        <w:t xml:space="preserve">Necesidad crítica para organizaciones </w:t>
      </w:r>
    </w:p>
    <w:p w14:paraId="61DF6DAC" w14:textId="77777777" w:rsidR="00CA7064" w:rsidRP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shd w:val="clear" w:color="auto" w:fill="FFFFFF"/>
          <w:lang w:eastAsia="es-MX"/>
        </w:rPr>
        <w:t xml:space="preserve">De acuerdo a las cifras reportadas por la Oficina de Naciones Unidas contra la Droga y el Delito (UNODC, por sus siglas en inglés) las actividades ilegales producto del crimen </w:t>
      </w:r>
      <w:proofErr w:type="gramStart"/>
      <w:r w:rsidRPr="00CA7064">
        <w:rPr>
          <w:rFonts w:ascii="Arial" w:eastAsia="Cambria" w:hAnsi="Arial" w:cs="Arial"/>
          <w:shd w:val="clear" w:color="auto" w:fill="FFFFFF"/>
          <w:lang w:eastAsia="es-MX"/>
        </w:rPr>
        <w:t>organizado,</w:t>
      </w:r>
      <w:proofErr w:type="gramEnd"/>
      <w:r w:rsidRPr="00CA7064">
        <w:rPr>
          <w:rFonts w:ascii="Arial" w:eastAsia="Cambria" w:hAnsi="Arial" w:cs="Arial"/>
          <w:shd w:val="clear" w:color="auto" w:fill="FFFFFF"/>
          <w:lang w:eastAsia="es-MX"/>
        </w:rPr>
        <w:t xml:space="preserve"> suman ganancias anuales de más de dos billones de dólares. Y si añadimos que la mayoría de las transacciones se hacen en efectivo, el lavado de dinero se vuelve en sí mismo, un gran negocio.</w:t>
      </w:r>
    </w:p>
    <w:p w14:paraId="537F3EB8" w14:textId="77777777" w:rsidR="00CA7064" w:rsidRP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shd w:val="clear" w:color="auto" w:fill="FFFFFF"/>
          <w:lang w:eastAsia="es-MX"/>
        </w:rPr>
        <w:t>En México las empresas, se encuentran actualmente ante la necesidad de fortalecer el control de riesgos, considerándolos en su más simple definición como la probabilidad de que algo ocurra. Esto es, todos estamos ante la posibilidad de que dentro de nuestras organizaciones puedan presentarse.</w:t>
      </w:r>
    </w:p>
    <w:p w14:paraId="5395ED83" w14:textId="4AB23BA9" w:rsid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shd w:val="clear" w:color="auto" w:fill="FFFFFF"/>
          <w:lang w:eastAsia="es-MX"/>
        </w:rPr>
        <w:t>Contar con un área de auditoría interna o control de riesgos; con el objeto de que, a través de ella, se evalúen y verifiquen los riesgos fortaleciendo sus reglas, políticas, estándares, estrategias, costos, seguridad y verificación de las diversas disposiciones legales y reglamentarias; se ha convertido en una necesidad crítica para las compañías para evitar caer en riesgos.</w:t>
      </w:r>
    </w:p>
    <w:p w14:paraId="32A7963E" w14:textId="77777777" w:rsidR="00CA7064" w:rsidRPr="00CA7064" w:rsidRDefault="00CA7064" w:rsidP="00CA7064">
      <w:pPr>
        <w:jc w:val="both"/>
        <w:rPr>
          <w:rFonts w:ascii="Arial" w:eastAsia="Cambria" w:hAnsi="Arial" w:cs="Arial"/>
          <w:shd w:val="clear" w:color="auto" w:fill="FFFFFF"/>
          <w:lang w:eastAsia="es-MX"/>
        </w:rPr>
      </w:pPr>
    </w:p>
    <w:p w14:paraId="39C59E2C" w14:textId="77777777" w:rsidR="00CA7064" w:rsidRPr="00CA7064" w:rsidRDefault="00CA7064" w:rsidP="00CA7064">
      <w:pPr>
        <w:jc w:val="both"/>
        <w:rPr>
          <w:rFonts w:ascii="Arial" w:eastAsia="Cambria" w:hAnsi="Arial" w:cs="Arial"/>
          <w:b/>
          <w:shd w:val="clear" w:color="auto" w:fill="FFFFFF"/>
          <w:lang w:eastAsia="es-MX"/>
        </w:rPr>
      </w:pPr>
      <w:r w:rsidRPr="00CA7064">
        <w:rPr>
          <w:rFonts w:ascii="Arial" w:eastAsia="Cambria" w:hAnsi="Arial" w:cs="Arial"/>
          <w:b/>
          <w:shd w:val="clear" w:color="auto" w:fill="FFFFFF"/>
          <w:lang w:eastAsia="es-MX"/>
        </w:rPr>
        <w:t>Hacia una nueva regulación</w:t>
      </w:r>
    </w:p>
    <w:p w14:paraId="6D51C0D1" w14:textId="77777777" w:rsidR="00CA7064" w:rsidRPr="00CA7064" w:rsidRDefault="00CA7064" w:rsidP="00CA7064">
      <w:pPr>
        <w:jc w:val="both"/>
        <w:rPr>
          <w:rFonts w:ascii="Arial" w:eastAsia="Cambria" w:hAnsi="Arial" w:cs="Arial"/>
          <w:shd w:val="clear" w:color="auto" w:fill="FFFFFF"/>
          <w:lang w:eastAsia="es-MX"/>
        </w:rPr>
      </w:pPr>
      <w:proofErr w:type="gramStart"/>
      <w:r w:rsidRPr="00CA7064">
        <w:rPr>
          <w:rFonts w:ascii="Arial" w:eastAsia="Cambria" w:hAnsi="Arial" w:cs="Arial"/>
          <w:shd w:val="clear" w:color="auto" w:fill="FFFFFF"/>
          <w:lang w:eastAsia="es-MX"/>
        </w:rPr>
        <w:t>De acuerdo a</w:t>
      </w:r>
      <w:proofErr w:type="gramEnd"/>
      <w:r w:rsidRPr="00CA7064">
        <w:rPr>
          <w:rFonts w:ascii="Arial" w:eastAsia="Cambria" w:hAnsi="Arial" w:cs="Arial"/>
          <w:shd w:val="clear" w:color="auto" w:fill="FFFFFF"/>
          <w:lang w:eastAsia="es-MX"/>
        </w:rPr>
        <w:t xml:space="preserve"> la Comisión Nacional Bancaria y de Valores (CNBV), el lavado de dinero es el proceso a través del cual es </w:t>
      </w:r>
      <w:r w:rsidRPr="00CA7064">
        <w:rPr>
          <w:rFonts w:ascii="Arial" w:eastAsia="Cambria" w:hAnsi="Arial" w:cs="Arial"/>
          <w:bCs/>
          <w:shd w:val="clear" w:color="auto" w:fill="FFFFFF"/>
          <w:lang w:eastAsia="es-MX"/>
        </w:rPr>
        <w:t>encubierto el origen de los fondos generados mediante el ejercicio de algunas actividades ilegales o criminales, por ejemplo:</w:t>
      </w:r>
      <w:r w:rsidRPr="00CA7064">
        <w:rPr>
          <w:rFonts w:ascii="Arial" w:eastAsia="Cambria" w:hAnsi="Arial" w:cs="Arial"/>
          <w:b/>
          <w:bCs/>
          <w:shd w:val="clear" w:color="auto" w:fill="FFFFFF"/>
          <w:lang w:eastAsia="es-MX"/>
        </w:rPr>
        <w:t xml:space="preserve"> </w:t>
      </w:r>
      <w:r w:rsidRPr="00CA7064">
        <w:rPr>
          <w:rFonts w:ascii="Arial" w:eastAsia="Cambria" w:hAnsi="Arial" w:cs="Arial"/>
          <w:shd w:val="clear" w:color="auto" w:fill="FFFFFF"/>
          <w:lang w:eastAsia="es-MX"/>
        </w:rPr>
        <w:t xml:space="preserve">tráfico de drogas o estupefacientes, contrabando de armas, corrupción, fraude, prostitución, extorsión, piratería y últimamente terrorismo. </w:t>
      </w:r>
    </w:p>
    <w:p w14:paraId="745F1306" w14:textId="77777777" w:rsidR="00CA7064" w:rsidRP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bCs/>
          <w:shd w:val="clear" w:color="auto" w:fill="FFFFFF"/>
          <w:lang w:eastAsia="es-MX"/>
        </w:rPr>
        <w:t>El objetivo de estas operaciones, que generalmente se realiza en varios niveles, consiste en hacer que los fondos o activos obtenidos a través de actividades ilícitas aparezcan como el fruto de actividades legítimas y circulen sin problema en el sistema financiero</w:t>
      </w:r>
      <w:r w:rsidRPr="00CA7064">
        <w:rPr>
          <w:rFonts w:ascii="Arial" w:eastAsia="Cambria" w:hAnsi="Arial" w:cs="Arial"/>
          <w:shd w:val="clear" w:color="auto" w:fill="FFFFFF"/>
          <w:lang w:eastAsia="es-MX"/>
        </w:rPr>
        <w:t xml:space="preserve">. </w:t>
      </w:r>
    </w:p>
    <w:p w14:paraId="7E69CC2E" w14:textId="623B85D0" w:rsid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shd w:val="clear" w:color="auto" w:fill="FFFFFF"/>
          <w:lang w:eastAsia="es-MX"/>
        </w:rPr>
        <w:lastRenderedPageBreak/>
        <w:t>La Organización de las Naciones Unidas (ONU) detalló que en</w:t>
      </w:r>
      <w:r w:rsidR="00042648" w:rsidRPr="00CA7064">
        <w:rPr>
          <w:rFonts w:ascii="Arial" w:eastAsia="Cambria" w:hAnsi="Arial" w:cs="Arial"/>
          <w:shd w:val="clear" w:color="auto" w:fill="FFFFFF"/>
          <w:lang w:eastAsia="es-MX"/>
        </w:rPr>
        <w:t xml:space="preserve"> México se blanquean entre 25 mil millones y 62 mil millones de dólares al año, con un promedio estimado de 50 mil millones, lo que coloca al país en el tercer lugar en este delito después de C</w:t>
      </w:r>
      <w:r w:rsidRPr="00CA7064">
        <w:rPr>
          <w:rFonts w:ascii="Arial" w:eastAsia="Cambria" w:hAnsi="Arial" w:cs="Arial"/>
          <w:shd w:val="clear" w:color="auto" w:fill="FFFFFF"/>
          <w:lang w:eastAsia="es-MX"/>
        </w:rPr>
        <w:t xml:space="preserve">hina y Rusia. </w:t>
      </w:r>
    </w:p>
    <w:p w14:paraId="20896CBB" w14:textId="77777777" w:rsidR="00CA7064" w:rsidRPr="00CA7064" w:rsidRDefault="00CA7064" w:rsidP="00CA7064">
      <w:pPr>
        <w:jc w:val="both"/>
        <w:rPr>
          <w:rFonts w:ascii="Arial" w:eastAsia="Cambria" w:hAnsi="Arial" w:cs="Arial"/>
          <w:shd w:val="clear" w:color="auto" w:fill="FFFFFF"/>
          <w:lang w:eastAsia="es-MX"/>
        </w:rPr>
      </w:pPr>
    </w:p>
    <w:p w14:paraId="3BCAFC6B" w14:textId="531D188D" w:rsidR="00CA7064" w:rsidRDefault="00CA7064" w:rsidP="00CA7064">
      <w:pPr>
        <w:jc w:val="both"/>
        <w:rPr>
          <w:rFonts w:ascii="Arial" w:eastAsia="Cambria" w:hAnsi="Arial" w:cs="Arial"/>
          <w:shd w:val="clear" w:color="auto" w:fill="FFFFFF"/>
          <w:lang w:eastAsia="es-MX"/>
        </w:rPr>
      </w:pPr>
      <w:r w:rsidRPr="00CA7064">
        <w:rPr>
          <w:rFonts w:ascii="Arial" w:eastAsia="Cambria" w:hAnsi="Arial" w:cs="Arial"/>
          <w:shd w:val="clear" w:color="auto" w:fill="FFFFFF"/>
          <w:lang w:eastAsia="es-MX"/>
        </w:rPr>
        <w:t>Recientemente, se expidió en el país, el artículo 400 Bis del Código Penal Federal, mediante el cual el delito de lavado de dinero dejó de ser considerado un ilícito eminentemente fiscal y pasó a formar parte de la legislación punitiva mexicana.  A su vez que, en septiembre pasado, el Senado de la República aprobó la defraudación fiscal, facturación falsa o inexistente y empresas fantasma, como delitos cometidos por el crimen organizado, por lo que dichos actos ya son considerados como amenaza a la seguridad nacional y deberán aplicar como prevención preventiva oficiosa.</w:t>
      </w:r>
    </w:p>
    <w:p w14:paraId="1E43B22A" w14:textId="77777777" w:rsidR="00CA7064" w:rsidRPr="00CA7064" w:rsidRDefault="00CA7064" w:rsidP="00CA7064">
      <w:pPr>
        <w:jc w:val="both"/>
        <w:rPr>
          <w:rFonts w:ascii="Arial" w:eastAsia="Cambria" w:hAnsi="Arial" w:cs="Arial"/>
          <w:shd w:val="clear" w:color="auto" w:fill="FFFFFF"/>
          <w:lang w:eastAsia="es-MX"/>
        </w:rPr>
      </w:pPr>
    </w:p>
    <w:p w14:paraId="259FF450" w14:textId="75426A83" w:rsidR="00CA7064" w:rsidRPr="00CA7064" w:rsidRDefault="00CA7064" w:rsidP="00CA7064">
      <w:pPr>
        <w:jc w:val="both"/>
        <w:rPr>
          <w:rFonts w:ascii="Arial" w:eastAsia="Cambria" w:hAnsi="Arial" w:cs="Arial"/>
          <w:shd w:val="clear" w:color="auto" w:fill="FFFFFF"/>
          <w:lang w:val="es-MX" w:eastAsia="es-MX"/>
        </w:rPr>
      </w:pPr>
      <w:r w:rsidRPr="00CA7064">
        <w:rPr>
          <w:rFonts w:ascii="Arial" w:eastAsia="Cambria" w:hAnsi="Arial" w:cs="Arial"/>
          <w:shd w:val="clear" w:color="auto" w:fill="FFFFFF"/>
          <w:lang w:eastAsia="es-MX"/>
        </w:rPr>
        <w:t>Ante este panorama y las modificaciones que entrarán en vigor en el 2020; hoy más que nunca las empresas están obligadas a fortalecer sus áreas de auditoría interna o evaluación de riesgos, así como lo relacionado con lavado de dinero en materia de defraudación fiscal; todo ello, en favor de dar cabal cumplimiento a las normas establecidas por la ley y prevenir de forma legal a sus organizaciones.</w:t>
      </w:r>
    </w:p>
    <w:p w14:paraId="2ABF29D8" w14:textId="572D58D5" w:rsidR="00775ADC" w:rsidRPr="00D42686" w:rsidRDefault="00775ADC" w:rsidP="00D42686">
      <w:pPr>
        <w:jc w:val="both"/>
        <w:rPr>
          <w:rFonts w:ascii="Arial" w:eastAsia="Cambria" w:hAnsi="Arial" w:cs="Arial"/>
          <w:shd w:val="clear" w:color="auto" w:fill="FFFFFF"/>
          <w:lang w:val="es-MX" w:eastAsia="es-MX"/>
        </w:rPr>
      </w:pPr>
    </w:p>
    <w:p w14:paraId="286C7089" w14:textId="68B4561D" w:rsidR="00761AF8" w:rsidRPr="00B9730D" w:rsidRDefault="007B7347" w:rsidP="00761AF8">
      <w:pPr>
        <w:jc w:val="both"/>
        <w:rPr>
          <w:rFonts w:ascii="Arial" w:eastAsia="Cambria" w:hAnsi="Arial" w:cs="Arial"/>
          <w:shd w:val="clear" w:color="auto" w:fill="FFFFFF"/>
          <w:lang w:val="es-MX" w:eastAsia="es-MX"/>
        </w:rPr>
      </w:pPr>
      <w:r>
        <w:rPr>
          <w:rFonts w:ascii="Arial" w:eastAsia="Cambria" w:hAnsi="Arial" w:cs="Arial"/>
          <w:noProof/>
          <w:lang w:val="es-MX" w:eastAsia="es-MX"/>
        </w:rPr>
        <mc:AlternateContent>
          <mc:Choice Requires="wps">
            <w:drawing>
              <wp:anchor distT="0" distB="0" distL="114300" distR="114300" simplePos="0" relativeHeight="251662336" behindDoc="0" locked="0" layoutInCell="1" allowOverlap="1" wp14:anchorId="6958831B" wp14:editId="54F6D9DE">
                <wp:simplePos x="0" y="0"/>
                <wp:positionH relativeFrom="column">
                  <wp:posOffset>-1962</wp:posOffset>
                </wp:positionH>
                <wp:positionV relativeFrom="paragraph">
                  <wp:posOffset>92577</wp:posOffset>
                </wp:positionV>
                <wp:extent cx="1958454" cy="0"/>
                <wp:effectExtent l="38100" t="38100" r="60960" b="95250"/>
                <wp:wrapNone/>
                <wp:docPr id="3" name="Conector recto 3"/>
                <wp:cNvGraphicFramePr/>
                <a:graphic xmlns:a="http://schemas.openxmlformats.org/drawingml/2006/main">
                  <a:graphicData uri="http://schemas.microsoft.com/office/word/2010/wordprocessingShape">
                    <wps:wsp>
                      <wps:cNvCnPr/>
                      <wps:spPr>
                        <a:xfrm>
                          <a:off x="0" y="0"/>
                          <a:ext cx="1958454"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2605438"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3pt" to="154.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" strokecolor="#4f81bd [3204]" strokeweight="1pt">
                <v:shadow on="t" color="black" opacity="24903f" origin=",.5" offset="0,.55556mm"/>
              </v:line>
            </w:pict>
          </mc:Fallback>
        </mc:AlternateContent>
      </w:r>
    </w:p>
    <w:p w14:paraId="7AE8A6D0" w14:textId="5CD3AD3D" w:rsidR="00885ED9" w:rsidRPr="004E6E55" w:rsidRDefault="00885ED9" w:rsidP="00885ED9">
      <w:pPr>
        <w:jc w:val="both"/>
        <w:rPr>
          <w:rFonts w:ascii="Arial" w:eastAsia="MS Mincho" w:hAnsi="Arial" w:cs="Arial"/>
          <w:i/>
          <w:lang w:eastAsia="en-US"/>
        </w:rPr>
      </w:pPr>
    </w:p>
    <w:p w14:paraId="57AC4135" w14:textId="48C755AD" w:rsidR="00417B32" w:rsidRPr="00555604" w:rsidRDefault="00417B32" w:rsidP="00417B32">
      <w:pPr>
        <w:widowControl w:val="0"/>
        <w:shd w:val="clear" w:color="auto" w:fill="FFFFFF"/>
        <w:jc w:val="both"/>
        <w:rPr>
          <w:rFonts w:ascii="Arial" w:eastAsia="Arial" w:hAnsi="Arial" w:cs="Arial"/>
          <w:b/>
          <w:color w:val="000000"/>
          <w:sz w:val="22"/>
          <w:szCs w:val="22"/>
          <w:lang w:val="es-MX" w:eastAsia="es-MX"/>
        </w:rPr>
      </w:pPr>
      <w:r w:rsidRPr="00B77544">
        <w:rPr>
          <w:rFonts w:ascii="Arial" w:eastAsia="Arial" w:hAnsi="Arial" w:cs="Arial"/>
          <w:b/>
          <w:color w:val="000000"/>
          <w:sz w:val="22"/>
          <w:szCs w:val="22"/>
          <w:lang w:val="es-MX" w:eastAsia="es-MX"/>
        </w:rPr>
        <w:t>Acerca de la EBC</w:t>
      </w:r>
    </w:p>
    <w:p w14:paraId="50910DB1" w14:textId="77777777" w:rsidR="00724E2D" w:rsidRDefault="00724E2D" w:rsidP="00417B32">
      <w:pPr>
        <w:widowControl w:val="0"/>
        <w:shd w:val="clear" w:color="auto" w:fill="FFFFFF"/>
        <w:jc w:val="both"/>
        <w:rPr>
          <w:rFonts w:ascii="Arial" w:eastAsia="Arial" w:hAnsi="Arial" w:cs="Arial"/>
          <w:b/>
          <w:color w:val="000000"/>
          <w:sz w:val="22"/>
          <w:szCs w:val="22"/>
          <w:highlight w:val="white"/>
          <w:lang w:val="es-MX" w:eastAsia="es-MX"/>
        </w:rPr>
      </w:pPr>
    </w:p>
    <w:p w14:paraId="064E67A6" w14:textId="6D0F8E34" w:rsidR="00417B32" w:rsidRDefault="00724E2D" w:rsidP="00417B32">
      <w:pPr>
        <w:spacing w:after="160" w:line="259" w:lineRule="auto"/>
        <w:jc w:val="both"/>
        <w:rPr>
          <w:rFonts w:ascii="Arial" w:eastAsia="Arial" w:hAnsi="Arial" w:cs="Arial"/>
          <w:b/>
          <w:color w:val="000000"/>
          <w:sz w:val="22"/>
          <w:szCs w:val="22"/>
          <w:lang w:val="es-MX" w:eastAsia="es-MX"/>
        </w:rPr>
      </w:pPr>
      <w:r>
        <w:rPr>
          <w:rFonts w:ascii="Arial" w:eastAsia="Arial" w:hAnsi="Arial" w:cs="Arial"/>
          <w:b/>
          <w:color w:val="000000"/>
          <w:sz w:val="22"/>
          <w:szCs w:val="22"/>
          <w:lang w:val="es-MX" w:eastAsia="es-MX"/>
        </w:rPr>
        <w:t xml:space="preserve">La </w:t>
      </w:r>
      <w:r w:rsidRPr="00B77544">
        <w:rPr>
          <w:rFonts w:ascii="Arial" w:eastAsia="Arial" w:hAnsi="Arial" w:cs="Arial"/>
          <w:b/>
          <w:color w:val="000000"/>
          <w:sz w:val="22"/>
          <w:szCs w:val="22"/>
          <w:lang w:val="es-MX" w:eastAsia="es-MX"/>
        </w:rPr>
        <w:t>Escu</w:t>
      </w:r>
      <w:r>
        <w:rPr>
          <w:rFonts w:ascii="Arial" w:eastAsia="Arial" w:hAnsi="Arial" w:cs="Arial"/>
          <w:b/>
          <w:color w:val="000000"/>
          <w:sz w:val="22"/>
          <w:szCs w:val="22"/>
          <w:lang w:val="es-MX" w:eastAsia="es-MX"/>
        </w:rPr>
        <w:t xml:space="preserve">ela Bancaria y Comercial (EBC) fundada en 1929, </w:t>
      </w:r>
      <w:r w:rsidR="00417B32">
        <w:rPr>
          <w:rFonts w:ascii="Arial" w:eastAsia="Arial" w:hAnsi="Arial" w:cs="Arial"/>
          <w:b/>
          <w:color w:val="000000"/>
          <w:sz w:val="22"/>
          <w:szCs w:val="22"/>
          <w:lang w:val="es-MX" w:eastAsia="es-MX"/>
        </w:rPr>
        <w:t>a sus 90 años de historia</w:t>
      </w:r>
      <w:r>
        <w:rPr>
          <w:rFonts w:ascii="Arial" w:eastAsia="Arial" w:hAnsi="Arial" w:cs="Arial"/>
          <w:b/>
          <w:color w:val="000000"/>
          <w:sz w:val="22"/>
          <w:szCs w:val="22"/>
          <w:lang w:val="es-MX" w:eastAsia="es-MX"/>
        </w:rPr>
        <w:t xml:space="preserve">, </w:t>
      </w:r>
      <w:r w:rsidR="00417B32" w:rsidRPr="0014243C">
        <w:rPr>
          <w:rFonts w:ascii="Arial" w:eastAsia="Arial" w:hAnsi="Arial" w:cs="Arial"/>
          <w:b/>
          <w:color w:val="000000"/>
          <w:sz w:val="22"/>
          <w:szCs w:val="22"/>
          <w:lang w:val="es-MX" w:eastAsia="es-MX"/>
        </w:rPr>
        <w:t xml:space="preserve">cuenta con 159,000 egresados y una matrícula de 15,000 estudiantes en la esfera de los negocios, en once campus, distribuidos en: </w:t>
      </w:r>
      <w:r>
        <w:rPr>
          <w:rFonts w:ascii="Arial" w:eastAsia="Arial" w:hAnsi="Arial" w:cs="Arial"/>
          <w:b/>
          <w:color w:val="000000"/>
          <w:sz w:val="22"/>
          <w:szCs w:val="22"/>
          <w:lang w:val="es-MX" w:eastAsia="es-MX"/>
        </w:rPr>
        <w:t xml:space="preserve">Aguascalientes, </w:t>
      </w:r>
      <w:r w:rsidR="00417B32" w:rsidRPr="0014243C">
        <w:rPr>
          <w:rFonts w:ascii="Arial" w:eastAsia="Arial" w:hAnsi="Arial" w:cs="Arial"/>
          <w:b/>
          <w:color w:val="000000"/>
          <w:sz w:val="22"/>
          <w:szCs w:val="22"/>
          <w:lang w:val="es-MX" w:eastAsia="es-MX"/>
        </w:rPr>
        <w:t xml:space="preserve">Ciudad de México, </w:t>
      </w:r>
      <w:r w:rsidRPr="0014243C">
        <w:rPr>
          <w:rFonts w:ascii="Arial" w:eastAsia="Arial" w:hAnsi="Arial" w:cs="Arial"/>
          <w:b/>
          <w:color w:val="000000"/>
          <w:sz w:val="22"/>
          <w:szCs w:val="22"/>
          <w:lang w:val="es-MX" w:eastAsia="es-MX"/>
        </w:rPr>
        <w:t>Guada</w:t>
      </w:r>
      <w:r>
        <w:rPr>
          <w:rFonts w:ascii="Arial" w:eastAsia="Arial" w:hAnsi="Arial" w:cs="Arial"/>
          <w:b/>
          <w:color w:val="000000"/>
          <w:sz w:val="22"/>
          <w:szCs w:val="22"/>
          <w:lang w:val="es-MX" w:eastAsia="es-MX"/>
        </w:rPr>
        <w:t xml:space="preserve">lajara, </w:t>
      </w:r>
      <w:r w:rsidRPr="0014243C">
        <w:rPr>
          <w:rFonts w:ascii="Arial" w:eastAsia="Arial" w:hAnsi="Arial" w:cs="Arial"/>
          <w:b/>
          <w:color w:val="000000"/>
          <w:sz w:val="22"/>
          <w:szCs w:val="22"/>
          <w:lang w:val="es-MX" w:eastAsia="es-MX"/>
        </w:rPr>
        <w:t xml:space="preserve">León, </w:t>
      </w:r>
      <w:r>
        <w:rPr>
          <w:rFonts w:ascii="Arial" w:eastAsia="Arial" w:hAnsi="Arial" w:cs="Arial"/>
          <w:b/>
          <w:color w:val="000000"/>
          <w:sz w:val="22"/>
          <w:szCs w:val="22"/>
          <w:lang w:val="es-MX" w:eastAsia="es-MX"/>
        </w:rPr>
        <w:t xml:space="preserve">Mérida, </w:t>
      </w:r>
      <w:r w:rsidR="00417B32" w:rsidRPr="0014243C">
        <w:rPr>
          <w:rFonts w:ascii="Arial" w:eastAsia="Arial" w:hAnsi="Arial" w:cs="Arial"/>
          <w:b/>
          <w:color w:val="000000"/>
          <w:sz w:val="22"/>
          <w:szCs w:val="22"/>
          <w:lang w:val="es-MX" w:eastAsia="es-MX"/>
        </w:rPr>
        <w:t>Querétaro,</w:t>
      </w:r>
      <w:r>
        <w:rPr>
          <w:rFonts w:ascii="Arial" w:eastAsia="Arial" w:hAnsi="Arial" w:cs="Arial"/>
          <w:b/>
          <w:color w:val="000000"/>
          <w:sz w:val="22"/>
          <w:szCs w:val="22"/>
          <w:lang w:val="es-MX" w:eastAsia="es-MX"/>
        </w:rPr>
        <w:t xml:space="preserve"> </w:t>
      </w:r>
      <w:r w:rsidRPr="0014243C">
        <w:rPr>
          <w:rFonts w:ascii="Arial" w:eastAsia="Arial" w:hAnsi="Arial" w:cs="Arial"/>
          <w:b/>
          <w:color w:val="000000"/>
          <w:sz w:val="22"/>
          <w:szCs w:val="22"/>
          <w:lang w:val="es-MX" w:eastAsia="es-MX"/>
        </w:rPr>
        <w:t>Pachuca,</w:t>
      </w:r>
      <w:r w:rsidR="00417B32" w:rsidRPr="0014243C">
        <w:rPr>
          <w:rFonts w:ascii="Arial" w:eastAsia="Arial" w:hAnsi="Arial" w:cs="Arial"/>
          <w:b/>
          <w:color w:val="000000"/>
          <w:sz w:val="22"/>
          <w:szCs w:val="22"/>
          <w:lang w:val="es-MX" w:eastAsia="es-MX"/>
        </w:rPr>
        <w:t xml:space="preserve"> </w:t>
      </w:r>
      <w:r w:rsidRPr="0014243C">
        <w:rPr>
          <w:rFonts w:ascii="Arial" w:eastAsia="Arial" w:hAnsi="Arial" w:cs="Arial"/>
          <w:b/>
          <w:color w:val="000000"/>
          <w:sz w:val="22"/>
          <w:szCs w:val="22"/>
          <w:lang w:val="es-MX" w:eastAsia="es-MX"/>
        </w:rPr>
        <w:t>San Luis Potosí, Tlalnepantla, Toluca</w:t>
      </w:r>
      <w:r>
        <w:rPr>
          <w:rFonts w:ascii="Arial" w:eastAsia="Arial" w:hAnsi="Arial" w:cs="Arial"/>
          <w:b/>
          <w:color w:val="000000"/>
          <w:sz w:val="22"/>
          <w:szCs w:val="22"/>
          <w:lang w:val="es-MX" w:eastAsia="es-MX"/>
        </w:rPr>
        <w:t xml:space="preserve"> y Tuxtla Gutiérrez.</w:t>
      </w:r>
    </w:p>
    <w:p w14:paraId="08EAF32C" w14:textId="3BC2AE09" w:rsidR="00417B32" w:rsidRDefault="00417B32" w:rsidP="00417B32">
      <w:pPr>
        <w:shd w:val="clear" w:color="auto" w:fill="FFFFFF"/>
        <w:spacing w:before="100" w:beforeAutospacing="1" w:after="100" w:afterAutospacing="1"/>
        <w:contextualSpacing/>
        <w:jc w:val="both"/>
        <w:rPr>
          <w:rFonts w:ascii="Arial" w:eastAsia="Times New Roman" w:hAnsi="Arial" w:cs="Arial"/>
          <w:b/>
          <w:sz w:val="22"/>
          <w:szCs w:val="22"/>
          <w:lang w:val="es-ES"/>
        </w:rPr>
      </w:pPr>
      <w:r>
        <w:rPr>
          <w:rFonts w:ascii="Arial" w:eastAsia="Arial" w:hAnsi="Arial" w:cs="Arial"/>
          <w:b/>
          <w:color w:val="000000"/>
          <w:sz w:val="22"/>
          <w:szCs w:val="22"/>
          <w:lang w:val="es-MX" w:eastAsia="es-MX"/>
        </w:rPr>
        <w:t xml:space="preserve">La EBC cuenta con 8 licenciaturas; Derecho, </w:t>
      </w:r>
      <w:r w:rsidRPr="00191F51">
        <w:rPr>
          <w:rFonts w:ascii="Arial" w:eastAsia="Arial" w:hAnsi="Arial" w:cs="Arial"/>
          <w:b/>
          <w:color w:val="000000"/>
          <w:sz w:val="22"/>
          <w:szCs w:val="22"/>
          <w:lang w:val="es-MX" w:eastAsia="es-MX"/>
        </w:rPr>
        <w:t>Mercadotecnia, Comercio y Negocios Internacionales, Contaduría Pública, Finanzas y Banca, Administración, Administración en Negocios de la Comunicación y el Entretenimiento, así como Negocios de Turismo y Hospitalidad</w:t>
      </w:r>
      <w:r w:rsidR="00A34748">
        <w:rPr>
          <w:rFonts w:ascii="Arial" w:eastAsia="Arial" w:hAnsi="Arial" w:cs="Arial"/>
          <w:b/>
          <w:color w:val="000000"/>
          <w:sz w:val="22"/>
          <w:szCs w:val="22"/>
          <w:lang w:val="es-MX" w:eastAsia="es-MX"/>
        </w:rPr>
        <w:t xml:space="preserve"> y </w:t>
      </w:r>
      <w:r w:rsidRPr="00067DC0">
        <w:rPr>
          <w:rFonts w:ascii="Arial" w:eastAsia="Times New Roman" w:hAnsi="Arial" w:cs="Arial"/>
          <w:b/>
          <w:sz w:val="22"/>
          <w:szCs w:val="22"/>
          <w:lang w:val="es-ES"/>
        </w:rPr>
        <w:t>programas académicos de educación continua, educación corporativa y posgrados.</w:t>
      </w:r>
    </w:p>
    <w:p w14:paraId="1504A4CC" w14:textId="77777777" w:rsidR="00724E2D" w:rsidRDefault="00724E2D" w:rsidP="00417B32">
      <w:pPr>
        <w:shd w:val="clear" w:color="auto" w:fill="FFFFFF"/>
        <w:spacing w:before="100" w:beforeAutospacing="1" w:after="100" w:afterAutospacing="1"/>
        <w:contextualSpacing/>
        <w:jc w:val="both"/>
        <w:rPr>
          <w:rFonts w:ascii="Arial" w:eastAsia="Times New Roman" w:hAnsi="Arial" w:cs="Arial"/>
          <w:b/>
          <w:sz w:val="22"/>
          <w:szCs w:val="22"/>
          <w:lang w:val="es-ES"/>
        </w:rPr>
      </w:pPr>
    </w:p>
    <w:p w14:paraId="32C33F48" w14:textId="2C68EE77" w:rsidR="00724E2D" w:rsidRDefault="00724E2D" w:rsidP="00724E2D">
      <w:pPr>
        <w:widowControl w:val="0"/>
        <w:shd w:val="clear" w:color="auto" w:fill="FFFFFF"/>
        <w:jc w:val="both"/>
        <w:rPr>
          <w:rFonts w:ascii="Arial" w:eastAsia="Arial" w:hAnsi="Arial" w:cs="Arial"/>
          <w:b/>
          <w:color w:val="000000"/>
          <w:sz w:val="22"/>
          <w:szCs w:val="22"/>
          <w:highlight w:val="white"/>
          <w:lang w:val="es-MX" w:eastAsia="es-MX"/>
        </w:rPr>
      </w:pPr>
      <w:r>
        <w:rPr>
          <w:rFonts w:ascii="Arial" w:eastAsia="Arial" w:hAnsi="Arial" w:cs="Arial"/>
          <w:b/>
          <w:color w:val="000000"/>
          <w:sz w:val="22"/>
          <w:szCs w:val="22"/>
          <w:lang w:val="es-MX" w:eastAsia="es-MX"/>
        </w:rPr>
        <w:t xml:space="preserve">La EBC </w:t>
      </w:r>
      <w:r w:rsidRPr="00B77544">
        <w:rPr>
          <w:rFonts w:ascii="Arial" w:eastAsia="Arial" w:hAnsi="Arial" w:cs="Arial"/>
          <w:b/>
          <w:color w:val="000000"/>
          <w:sz w:val="22"/>
          <w:szCs w:val="22"/>
          <w:lang w:val="es-MX" w:eastAsia="es-MX"/>
        </w:rPr>
        <w:t xml:space="preserve">es pionera en educación a distancia y considerada la </w:t>
      </w:r>
      <w:r>
        <w:rPr>
          <w:rFonts w:ascii="Arial" w:eastAsia="Arial" w:hAnsi="Arial" w:cs="Arial"/>
          <w:b/>
          <w:color w:val="000000"/>
          <w:sz w:val="22"/>
          <w:szCs w:val="22"/>
          <w:highlight w:val="white"/>
          <w:lang w:val="es-MX" w:eastAsia="es-MX"/>
        </w:rPr>
        <w:t>Escuela de Negocios de</w:t>
      </w:r>
      <w:r w:rsidRPr="00B77544">
        <w:rPr>
          <w:rFonts w:ascii="Arial" w:eastAsia="Arial" w:hAnsi="Arial" w:cs="Arial"/>
          <w:b/>
          <w:color w:val="000000"/>
          <w:sz w:val="22"/>
          <w:szCs w:val="22"/>
          <w:highlight w:val="white"/>
          <w:lang w:val="es-MX" w:eastAsia="es-MX"/>
        </w:rPr>
        <w:t xml:space="preserve"> México, cuya visión aspira a que la excelencia educativa sea base de su trabajo buscando el progreso de la comunidad, siendo su misión formar profesionales emprendedores que se distingan en el ámbito de las organizaciones por su saber, por su hacer y por su ser. </w:t>
      </w:r>
    </w:p>
    <w:p w14:paraId="387F8460" w14:textId="222EBBB2" w:rsidR="00417B32" w:rsidRPr="00067DC0" w:rsidRDefault="00417B32" w:rsidP="00417B32">
      <w:pPr>
        <w:shd w:val="clear" w:color="auto" w:fill="FFFFFF"/>
        <w:spacing w:before="100" w:beforeAutospacing="1" w:after="100" w:afterAutospacing="1"/>
        <w:contextualSpacing/>
        <w:jc w:val="both"/>
        <w:rPr>
          <w:rFonts w:ascii="Arial" w:eastAsia="Times New Roman" w:hAnsi="Arial" w:cs="Arial"/>
          <w:lang w:val="es-ES"/>
        </w:rPr>
      </w:pPr>
    </w:p>
    <w:p w14:paraId="0F0622DB" w14:textId="77777777" w:rsidR="00417B32" w:rsidRPr="00B77544" w:rsidRDefault="00417B32" w:rsidP="00417B32">
      <w:pPr>
        <w:widowControl w:val="0"/>
        <w:shd w:val="clear" w:color="auto" w:fill="FFFFFF"/>
        <w:jc w:val="both"/>
        <w:rPr>
          <w:rFonts w:ascii="Arial" w:eastAsia="Arial" w:hAnsi="Arial" w:cs="Arial"/>
          <w:b/>
          <w:i/>
          <w:color w:val="0070C0"/>
          <w:sz w:val="22"/>
          <w:szCs w:val="22"/>
          <w:highlight w:val="white"/>
          <w:u w:val="single"/>
          <w:lang w:val="es-MX" w:eastAsia="es-MX"/>
        </w:rPr>
      </w:pPr>
      <w:r w:rsidRPr="00B77544">
        <w:rPr>
          <w:rFonts w:ascii="Arial" w:eastAsia="Arial" w:hAnsi="Arial" w:cs="Arial"/>
          <w:b/>
          <w:color w:val="000000"/>
          <w:sz w:val="22"/>
          <w:szCs w:val="22"/>
          <w:highlight w:val="white"/>
          <w:lang w:val="es-MX" w:eastAsia="es-MX"/>
        </w:rPr>
        <w:t xml:space="preserve">Para </w:t>
      </w:r>
      <w:proofErr w:type="gramStart"/>
      <w:r w:rsidRPr="00B77544">
        <w:rPr>
          <w:rFonts w:ascii="Arial" w:eastAsia="Arial" w:hAnsi="Arial" w:cs="Arial"/>
          <w:b/>
          <w:color w:val="000000"/>
          <w:sz w:val="22"/>
          <w:szCs w:val="22"/>
          <w:highlight w:val="white"/>
          <w:lang w:val="es-MX" w:eastAsia="es-MX"/>
        </w:rPr>
        <w:t>mayor información</w:t>
      </w:r>
      <w:proofErr w:type="gramEnd"/>
      <w:r w:rsidRPr="00B77544">
        <w:rPr>
          <w:rFonts w:ascii="Arial" w:eastAsia="Arial" w:hAnsi="Arial" w:cs="Arial"/>
          <w:b/>
          <w:color w:val="000000"/>
          <w:sz w:val="22"/>
          <w:szCs w:val="22"/>
          <w:highlight w:val="white"/>
          <w:lang w:val="es-MX" w:eastAsia="es-MX"/>
        </w:rPr>
        <w:t xml:space="preserve"> consulta</w:t>
      </w:r>
      <w:r w:rsidRPr="00B77544">
        <w:rPr>
          <w:rFonts w:ascii="Arial" w:eastAsia="Arial" w:hAnsi="Arial" w:cs="Arial"/>
          <w:b/>
          <w:i/>
          <w:color w:val="000000"/>
          <w:sz w:val="22"/>
          <w:szCs w:val="22"/>
          <w:highlight w:val="white"/>
          <w:lang w:val="es-MX" w:eastAsia="es-MX"/>
        </w:rPr>
        <w:t xml:space="preserve">: </w:t>
      </w:r>
      <w:hyperlink r:id="rId9">
        <w:r w:rsidRPr="007665A6">
          <w:rPr>
            <w:rFonts w:ascii="Arial" w:eastAsia="Arial" w:hAnsi="Arial" w:cs="Arial"/>
            <w:i/>
            <w:color w:val="0070C0"/>
            <w:sz w:val="22"/>
            <w:szCs w:val="22"/>
            <w:highlight w:val="white"/>
            <w:lang w:val="es-MX" w:eastAsia="es-MX"/>
          </w:rPr>
          <w:t>www.ebc.mx</w:t>
        </w:r>
      </w:hyperlink>
    </w:p>
    <w:p w14:paraId="7973E613" w14:textId="77777777" w:rsidR="00417B32" w:rsidRPr="005B4664" w:rsidRDefault="00417B32" w:rsidP="00417B32">
      <w:pPr>
        <w:shd w:val="clear" w:color="auto" w:fill="FFFFFF"/>
        <w:tabs>
          <w:tab w:val="left" w:pos="6149"/>
        </w:tabs>
        <w:spacing w:before="100" w:beforeAutospacing="1" w:after="100" w:afterAutospacing="1" w:line="276" w:lineRule="auto"/>
        <w:contextualSpacing/>
        <w:rPr>
          <w:rFonts w:ascii="Arial" w:eastAsia="Cambria" w:hAnsi="Arial" w:cs="Arial"/>
          <w:sz w:val="22"/>
          <w:szCs w:val="22"/>
          <w:shd w:val="clear" w:color="auto" w:fill="FFFFFF"/>
          <w:lang w:val="es-MX" w:eastAsia="es-MX"/>
        </w:rPr>
      </w:pPr>
      <w:r>
        <w:rPr>
          <w:rFonts w:ascii="Arial" w:eastAsia="Cambria" w:hAnsi="Arial" w:cs="Arial"/>
          <w:sz w:val="22"/>
          <w:szCs w:val="22"/>
          <w:shd w:val="clear" w:color="auto" w:fill="FFFFFF"/>
          <w:lang w:val="es-MX" w:eastAsia="es-MX"/>
        </w:rPr>
        <w:t xml:space="preserve"> </w:t>
      </w:r>
      <w:r>
        <w:rPr>
          <w:rFonts w:ascii="Arial" w:eastAsia="Cambria" w:hAnsi="Arial" w:cs="Arial"/>
          <w:sz w:val="22"/>
          <w:szCs w:val="22"/>
          <w:shd w:val="clear" w:color="auto" w:fill="FFFFFF"/>
          <w:lang w:val="es-MX" w:eastAsia="es-MX"/>
        </w:rPr>
        <w:tab/>
      </w:r>
    </w:p>
    <w:p w14:paraId="16161CD3" w14:textId="77777777" w:rsidR="00775ADC" w:rsidRPr="00BF2A40" w:rsidRDefault="00775ADC" w:rsidP="00775ADC">
      <w:pPr>
        <w:jc w:val="both"/>
        <w:rPr>
          <w:rFonts w:ascii="Arial" w:eastAsia="Arial" w:hAnsi="Arial" w:cs="Arial"/>
          <w:b/>
          <w:color w:val="000000"/>
          <w:sz w:val="22"/>
          <w:szCs w:val="22"/>
          <w:highlight w:val="white"/>
          <w:lang w:val="es-MX" w:eastAsia="es-MX"/>
        </w:rPr>
      </w:pPr>
      <w:r w:rsidRPr="00BF2A40">
        <w:rPr>
          <w:rFonts w:ascii="Arial" w:eastAsia="Arial" w:hAnsi="Arial" w:cs="Arial"/>
          <w:b/>
          <w:color w:val="000000"/>
          <w:sz w:val="22"/>
          <w:szCs w:val="22"/>
          <w:highlight w:val="white"/>
          <w:lang w:val="es-MX" w:eastAsia="es-MX"/>
        </w:rPr>
        <w:t>Contacto de prensa EBC</w:t>
      </w:r>
    </w:p>
    <w:p w14:paraId="1D7A4C92" w14:textId="77777777" w:rsidR="00775ADC" w:rsidRDefault="00775ADC" w:rsidP="00775ADC">
      <w:pPr>
        <w:jc w:val="both"/>
        <w:rPr>
          <w:rFonts w:ascii="Arial" w:eastAsia="Arial" w:hAnsi="Arial" w:cs="Arial"/>
          <w:b/>
          <w:color w:val="000000"/>
          <w:sz w:val="22"/>
          <w:szCs w:val="22"/>
          <w:highlight w:val="white"/>
          <w:lang w:val="es-MX" w:eastAsia="es-MX"/>
        </w:rPr>
      </w:pPr>
      <w:r>
        <w:rPr>
          <w:rFonts w:ascii="Arial" w:eastAsia="Arial" w:hAnsi="Arial" w:cs="Arial"/>
          <w:b/>
          <w:color w:val="000000"/>
          <w:sz w:val="22"/>
          <w:szCs w:val="22"/>
          <w:highlight w:val="white"/>
          <w:lang w:val="es-MX" w:eastAsia="es-MX"/>
        </w:rPr>
        <w:t>Carolina Nacif</w:t>
      </w:r>
    </w:p>
    <w:p w14:paraId="695C74FC" w14:textId="77D84BB6" w:rsidR="00775ADC" w:rsidRPr="00BF2A40" w:rsidRDefault="00775ADC" w:rsidP="00775ADC">
      <w:pPr>
        <w:jc w:val="both"/>
        <w:rPr>
          <w:rFonts w:ascii="Arial" w:eastAsia="Arial" w:hAnsi="Arial" w:cs="Arial"/>
          <w:b/>
          <w:color w:val="000000"/>
          <w:sz w:val="22"/>
          <w:szCs w:val="22"/>
          <w:highlight w:val="white"/>
          <w:lang w:val="es-MX" w:eastAsia="es-MX"/>
        </w:rPr>
      </w:pPr>
      <w:r w:rsidRPr="00BF2A40">
        <w:rPr>
          <w:rFonts w:ascii="Arial" w:eastAsia="Arial" w:hAnsi="Arial" w:cs="Arial"/>
          <w:b/>
          <w:color w:val="000000"/>
          <w:sz w:val="22"/>
          <w:szCs w:val="22"/>
          <w:highlight w:val="white"/>
          <w:lang w:val="es-MX" w:eastAsia="es-MX"/>
        </w:rPr>
        <w:t>Coordinadora de Relaciones con Medios de Comunicación</w:t>
      </w:r>
    </w:p>
    <w:p w14:paraId="1B00D971" w14:textId="77777777" w:rsidR="00775ADC" w:rsidRPr="00BF2A40" w:rsidRDefault="0084786C" w:rsidP="00775ADC">
      <w:pPr>
        <w:jc w:val="both"/>
        <w:rPr>
          <w:rFonts w:ascii="Arial" w:eastAsia="Arial" w:hAnsi="Arial" w:cs="Arial"/>
          <w:b/>
          <w:color w:val="1155CC"/>
          <w:sz w:val="22"/>
          <w:szCs w:val="22"/>
          <w:highlight w:val="white"/>
          <w:u w:val="single"/>
          <w:lang w:val="en-US" w:eastAsia="es-MX"/>
        </w:rPr>
      </w:pPr>
      <w:hyperlink r:id="rId10" w:history="1">
        <w:r w:rsidR="00775ADC" w:rsidRPr="00BF2A40">
          <w:rPr>
            <w:rFonts w:ascii="Arial" w:eastAsia="Arial" w:hAnsi="Arial" w:cs="Arial"/>
            <w:b/>
            <w:color w:val="0000FF"/>
            <w:sz w:val="22"/>
            <w:szCs w:val="22"/>
            <w:highlight w:val="white"/>
            <w:u w:val="single"/>
            <w:lang w:val="en-US" w:eastAsia="es-MX"/>
          </w:rPr>
          <w:t>c.nacif@ebc.edu.mx</w:t>
        </w:r>
      </w:hyperlink>
    </w:p>
    <w:p w14:paraId="2A753954" w14:textId="08A78FF4" w:rsidR="00B77544" w:rsidRPr="00555604" w:rsidRDefault="00775ADC" w:rsidP="00555604">
      <w:pPr>
        <w:jc w:val="both"/>
        <w:rPr>
          <w:rFonts w:ascii="Arial" w:eastAsia="Arial" w:hAnsi="Arial" w:cs="Arial"/>
          <w:b/>
          <w:color w:val="000000"/>
          <w:sz w:val="22"/>
          <w:szCs w:val="22"/>
          <w:highlight w:val="white"/>
          <w:lang w:val="en-US" w:eastAsia="es-MX"/>
        </w:rPr>
      </w:pPr>
      <w:r w:rsidRPr="00BF2A40">
        <w:rPr>
          <w:rFonts w:ascii="Arial" w:eastAsia="Arial" w:hAnsi="Arial" w:cs="Arial"/>
          <w:b/>
          <w:color w:val="000000"/>
          <w:sz w:val="22"/>
          <w:szCs w:val="22"/>
          <w:highlight w:val="white"/>
          <w:lang w:val="en-US" w:eastAsia="es-MX"/>
        </w:rPr>
        <w:t>+55</w:t>
      </w:r>
      <w:r w:rsidR="00555604">
        <w:rPr>
          <w:rFonts w:ascii="Arial" w:eastAsia="Arial" w:hAnsi="Arial" w:cs="Arial"/>
          <w:b/>
          <w:color w:val="000000"/>
          <w:sz w:val="22"/>
          <w:szCs w:val="22"/>
          <w:highlight w:val="white"/>
          <w:lang w:val="en-US" w:eastAsia="es-MX"/>
        </w:rPr>
        <w:t xml:space="preserve"> 36832400 ext.2057</w:t>
      </w:r>
    </w:p>
    <w:sectPr w:rsidR="00B77544" w:rsidRPr="00555604" w:rsidSect="001B3802">
      <w:headerReference w:type="even" r:id="rId11"/>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8BFBA" w14:textId="77777777" w:rsidR="0084786C" w:rsidRDefault="0084786C" w:rsidP="00920CAF">
      <w:r>
        <w:separator/>
      </w:r>
    </w:p>
  </w:endnote>
  <w:endnote w:type="continuationSeparator" w:id="0">
    <w:p w14:paraId="3F16B18A" w14:textId="77777777" w:rsidR="0084786C" w:rsidRDefault="0084786C" w:rsidP="0092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F654" w14:textId="77777777" w:rsidR="0084786C" w:rsidRDefault="0084786C" w:rsidP="00920CAF">
      <w:r>
        <w:separator/>
      </w:r>
    </w:p>
  </w:footnote>
  <w:footnote w:type="continuationSeparator" w:id="0">
    <w:p w14:paraId="61FB052F" w14:textId="77777777" w:rsidR="0084786C" w:rsidRDefault="0084786C" w:rsidP="00920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7A26" w14:textId="77777777" w:rsidR="00920CAF" w:rsidRDefault="0084786C">
    <w:pPr>
      <w:pStyle w:val="Encabezado"/>
    </w:pPr>
    <w:r>
      <w:rPr>
        <w:noProof/>
        <w:lang w:val="es-ES"/>
      </w:rPr>
      <w:pict w14:anchorId="0B1D3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comunicado-word-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C3E8E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617D7"/>
    <w:multiLevelType w:val="hybridMultilevel"/>
    <w:tmpl w:val="8154F7DA"/>
    <w:lvl w:ilvl="0" w:tplc="0652C4C0">
      <w:start w:val="1"/>
      <w:numFmt w:val="bullet"/>
      <w:lvlText w:val=""/>
      <w:lvlJc w:val="left"/>
      <w:pPr>
        <w:tabs>
          <w:tab w:val="num" w:pos="720"/>
        </w:tabs>
        <w:ind w:left="720" w:hanging="360"/>
      </w:pPr>
      <w:rPr>
        <w:rFonts w:ascii="Wingdings 2" w:hAnsi="Wingdings 2" w:hint="default"/>
      </w:rPr>
    </w:lvl>
    <w:lvl w:ilvl="1" w:tplc="8F1C918E" w:tentative="1">
      <w:start w:val="1"/>
      <w:numFmt w:val="bullet"/>
      <w:lvlText w:val=""/>
      <w:lvlJc w:val="left"/>
      <w:pPr>
        <w:tabs>
          <w:tab w:val="num" w:pos="1440"/>
        </w:tabs>
        <w:ind w:left="1440" w:hanging="360"/>
      </w:pPr>
      <w:rPr>
        <w:rFonts w:ascii="Wingdings 2" w:hAnsi="Wingdings 2" w:hint="default"/>
      </w:rPr>
    </w:lvl>
    <w:lvl w:ilvl="2" w:tplc="A1421236" w:tentative="1">
      <w:start w:val="1"/>
      <w:numFmt w:val="bullet"/>
      <w:lvlText w:val=""/>
      <w:lvlJc w:val="left"/>
      <w:pPr>
        <w:tabs>
          <w:tab w:val="num" w:pos="2160"/>
        </w:tabs>
        <w:ind w:left="2160" w:hanging="360"/>
      </w:pPr>
      <w:rPr>
        <w:rFonts w:ascii="Wingdings 2" w:hAnsi="Wingdings 2" w:hint="default"/>
      </w:rPr>
    </w:lvl>
    <w:lvl w:ilvl="3" w:tplc="F7529068" w:tentative="1">
      <w:start w:val="1"/>
      <w:numFmt w:val="bullet"/>
      <w:lvlText w:val=""/>
      <w:lvlJc w:val="left"/>
      <w:pPr>
        <w:tabs>
          <w:tab w:val="num" w:pos="2880"/>
        </w:tabs>
        <w:ind w:left="2880" w:hanging="360"/>
      </w:pPr>
      <w:rPr>
        <w:rFonts w:ascii="Wingdings 2" w:hAnsi="Wingdings 2" w:hint="default"/>
      </w:rPr>
    </w:lvl>
    <w:lvl w:ilvl="4" w:tplc="58565518" w:tentative="1">
      <w:start w:val="1"/>
      <w:numFmt w:val="bullet"/>
      <w:lvlText w:val=""/>
      <w:lvlJc w:val="left"/>
      <w:pPr>
        <w:tabs>
          <w:tab w:val="num" w:pos="3600"/>
        </w:tabs>
        <w:ind w:left="3600" w:hanging="360"/>
      </w:pPr>
      <w:rPr>
        <w:rFonts w:ascii="Wingdings 2" w:hAnsi="Wingdings 2" w:hint="default"/>
      </w:rPr>
    </w:lvl>
    <w:lvl w:ilvl="5" w:tplc="F006BC72" w:tentative="1">
      <w:start w:val="1"/>
      <w:numFmt w:val="bullet"/>
      <w:lvlText w:val=""/>
      <w:lvlJc w:val="left"/>
      <w:pPr>
        <w:tabs>
          <w:tab w:val="num" w:pos="4320"/>
        </w:tabs>
        <w:ind w:left="4320" w:hanging="360"/>
      </w:pPr>
      <w:rPr>
        <w:rFonts w:ascii="Wingdings 2" w:hAnsi="Wingdings 2" w:hint="default"/>
      </w:rPr>
    </w:lvl>
    <w:lvl w:ilvl="6" w:tplc="ECAC2864" w:tentative="1">
      <w:start w:val="1"/>
      <w:numFmt w:val="bullet"/>
      <w:lvlText w:val=""/>
      <w:lvlJc w:val="left"/>
      <w:pPr>
        <w:tabs>
          <w:tab w:val="num" w:pos="5040"/>
        </w:tabs>
        <w:ind w:left="5040" w:hanging="360"/>
      </w:pPr>
      <w:rPr>
        <w:rFonts w:ascii="Wingdings 2" w:hAnsi="Wingdings 2" w:hint="default"/>
      </w:rPr>
    </w:lvl>
    <w:lvl w:ilvl="7" w:tplc="F3DE1FE8" w:tentative="1">
      <w:start w:val="1"/>
      <w:numFmt w:val="bullet"/>
      <w:lvlText w:val=""/>
      <w:lvlJc w:val="left"/>
      <w:pPr>
        <w:tabs>
          <w:tab w:val="num" w:pos="5760"/>
        </w:tabs>
        <w:ind w:left="5760" w:hanging="360"/>
      </w:pPr>
      <w:rPr>
        <w:rFonts w:ascii="Wingdings 2" w:hAnsi="Wingdings 2" w:hint="default"/>
      </w:rPr>
    </w:lvl>
    <w:lvl w:ilvl="8" w:tplc="61FC943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F13FC4"/>
    <w:multiLevelType w:val="multilevel"/>
    <w:tmpl w:val="CF905828"/>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F4F6E"/>
    <w:multiLevelType w:val="multilevel"/>
    <w:tmpl w:val="CB12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6057C"/>
    <w:multiLevelType w:val="hybridMultilevel"/>
    <w:tmpl w:val="391E8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E41D6"/>
    <w:multiLevelType w:val="hybridMultilevel"/>
    <w:tmpl w:val="B00A0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903281"/>
    <w:multiLevelType w:val="hybridMultilevel"/>
    <w:tmpl w:val="991A2A08"/>
    <w:lvl w:ilvl="0" w:tplc="CAD4A3AE">
      <w:start w:val="1"/>
      <w:numFmt w:val="decimal"/>
      <w:lvlText w:val="%1."/>
      <w:lvlJc w:val="left"/>
      <w:pPr>
        <w:ind w:left="720" w:hanging="360"/>
      </w:pPr>
      <w:rPr>
        <w:rFonts w:asciiTheme="minorHAnsi" w:eastAsiaTheme="minorHAnsi" w:hAnsiTheme="minorHAnsi"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A662EE"/>
    <w:multiLevelType w:val="hybridMultilevel"/>
    <w:tmpl w:val="0832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B09A1"/>
    <w:multiLevelType w:val="hybridMultilevel"/>
    <w:tmpl w:val="114CEB1C"/>
    <w:lvl w:ilvl="0" w:tplc="3A8EBE46">
      <w:start w:val="1"/>
      <w:numFmt w:val="bullet"/>
      <w:lvlText w:val=""/>
      <w:lvlJc w:val="left"/>
      <w:pPr>
        <w:tabs>
          <w:tab w:val="num" w:pos="720"/>
        </w:tabs>
        <w:ind w:left="720" w:hanging="360"/>
      </w:pPr>
      <w:rPr>
        <w:rFonts w:ascii="Wingdings 2" w:hAnsi="Wingdings 2" w:hint="default"/>
      </w:rPr>
    </w:lvl>
    <w:lvl w:ilvl="1" w:tplc="25349E88" w:tentative="1">
      <w:start w:val="1"/>
      <w:numFmt w:val="bullet"/>
      <w:lvlText w:val=""/>
      <w:lvlJc w:val="left"/>
      <w:pPr>
        <w:tabs>
          <w:tab w:val="num" w:pos="1440"/>
        </w:tabs>
        <w:ind w:left="1440" w:hanging="360"/>
      </w:pPr>
      <w:rPr>
        <w:rFonts w:ascii="Wingdings 2" w:hAnsi="Wingdings 2" w:hint="default"/>
      </w:rPr>
    </w:lvl>
    <w:lvl w:ilvl="2" w:tplc="4F783A98" w:tentative="1">
      <w:start w:val="1"/>
      <w:numFmt w:val="bullet"/>
      <w:lvlText w:val=""/>
      <w:lvlJc w:val="left"/>
      <w:pPr>
        <w:tabs>
          <w:tab w:val="num" w:pos="2160"/>
        </w:tabs>
        <w:ind w:left="2160" w:hanging="360"/>
      </w:pPr>
      <w:rPr>
        <w:rFonts w:ascii="Wingdings 2" w:hAnsi="Wingdings 2" w:hint="default"/>
      </w:rPr>
    </w:lvl>
    <w:lvl w:ilvl="3" w:tplc="66AA23DA" w:tentative="1">
      <w:start w:val="1"/>
      <w:numFmt w:val="bullet"/>
      <w:lvlText w:val=""/>
      <w:lvlJc w:val="left"/>
      <w:pPr>
        <w:tabs>
          <w:tab w:val="num" w:pos="2880"/>
        </w:tabs>
        <w:ind w:left="2880" w:hanging="360"/>
      </w:pPr>
      <w:rPr>
        <w:rFonts w:ascii="Wingdings 2" w:hAnsi="Wingdings 2" w:hint="default"/>
      </w:rPr>
    </w:lvl>
    <w:lvl w:ilvl="4" w:tplc="B0868394" w:tentative="1">
      <w:start w:val="1"/>
      <w:numFmt w:val="bullet"/>
      <w:lvlText w:val=""/>
      <w:lvlJc w:val="left"/>
      <w:pPr>
        <w:tabs>
          <w:tab w:val="num" w:pos="3600"/>
        </w:tabs>
        <w:ind w:left="3600" w:hanging="360"/>
      </w:pPr>
      <w:rPr>
        <w:rFonts w:ascii="Wingdings 2" w:hAnsi="Wingdings 2" w:hint="default"/>
      </w:rPr>
    </w:lvl>
    <w:lvl w:ilvl="5" w:tplc="4A8E85BA" w:tentative="1">
      <w:start w:val="1"/>
      <w:numFmt w:val="bullet"/>
      <w:lvlText w:val=""/>
      <w:lvlJc w:val="left"/>
      <w:pPr>
        <w:tabs>
          <w:tab w:val="num" w:pos="4320"/>
        </w:tabs>
        <w:ind w:left="4320" w:hanging="360"/>
      </w:pPr>
      <w:rPr>
        <w:rFonts w:ascii="Wingdings 2" w:hAnsi="Wingdings 2" w:hint="default"/>
      </w:rPr>
    </w:lvl>
    <w:lvl w:ilvl="6" w:tplc="9EAA4E04" w:tentative="1">
      <w:start w:val="1"/>
      <w:numFmt w:val="bullet"/>
      <w:lvlText w:val=""/>
      <w:lvlJc w:val="left"/>
      <w:pPr>
        <w:tabs>
          <w:tab w:val="num" w:pos="5040"/>
        </w:tabs>
        <w:ind w:left="5040" w:hanging="360"/>
      </w:pPr>
      <w:rPr>
        <w:rFonts w:ascii="Wingdings 2" w:hAnsi="Wingdings 2" w:hint="default"/>
      </w:rPr>
    </w:lvl>
    <w:lvl w:ilvl="7" w:tplc="73809762" w:tentative="1">
      <w:start w:val="1"/>
      <w:numFmt w:val="bullet"/>
      <w:lvlText w:val=""/>
      <w:lvlJc w:val="left"/>
      <w:pPr>
        <w:tabs>
          <w:tab w:val="num" w:pos="5760"/>
        </w:tabs>
        <w:ind w:left="5760" w:hanging="360"/>
      </w:pPr>
      <w:rPr>
        <w:rFonts w:ascii="Wingdings 2" w:hAnsi="Wingdings 2" w:hint="default"/>
      </w:rPr>
    </w:lvl>
    <w:lvl w:ilvl="8" w:tplc="3838331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2F34FC3"/>
    <w:multiLevelType w:val="hybridMultilevel"/>
    <w:tmpl w:val="776E5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3D7B1E"/>
    <w:multiLevelType w:val="hybridMultilevel"/>
    <w:tmpl w:val="14381E96"/>
    <w:lvl w:ilvl="0" w:tplc="B0DA4C16">
      <w:start w:val="1"/>
      <w:numFmt w:val="decimal"/>
      <w:lvlText w:val="%1."/>
      <w:lvlJc w:val="left"/>
      <w:pPr>
        <w:tabs>
          <w:tab w:val="num" w:pos="720"/>
        </w:tabs>
        <w:ind w:left="720" w:hanging="360"/>
      </w:pPr>
    </w:lvl>
    <w:lvl w:ilvl="1" w:tplc="3D30EC34" w:tentative="1">
      <w:start w:val="1"/>
      <w:numFmt w:val="decimal"/>
      <w:lvlText w:val="%2."/>
      <w:lvlJc w:val="left"/>
      <w:pPr>
        <w:tabs>
          <w:tab w:val="num" w:pos="1440"/>
        </w:tabs>
        <w:ind w:left="1440" w:hanging="360"/>
      </w:pPr>
    </w:lvl>
    <w:lvl w:ilvl="2" w:tplc="2D56975C" w:tentative="1">
      <w:start w:val="1"/>
      <w:numFmt w:val="decimal"/>
      <w:lvlText w:val="%3."/>
      <w:lvlJc w:val="left"/>
      <w:pPr>
        <w:tabs>
          <w:tab w:val="num" w:pos="2160"/>
        </w:tabs>
        <w:ind w:left="2160" w:hanging="360"/>
      </w:pPr>
    </w:lvl>
    <w:lvl w:ilvl="3" w:tplc="2E6098AC" w:tentative="1">
      <w:start w:val="1"/>
      <w:numFmt w:val="decimal"/>
      <w:lvlText w:val="%4."/>
      <w:lvlJc w:val="left"/>
      <w:pPr>
        <w:tabs>
          <w:tab w:val="num" w:pos="2880"/>
        </w:tabs>
        <w:ind w:left="2880" w:hanging="360"/>
      </w:pPr>
    </w:lvl>
    <w:lvl w:ilvl="4" w:tplc="A586AF7E" w:tentative="1">
      <w:start w:val="1"/>
      <w:numFmt w:val="decimal"/>
      <w:lvlText w:val="%5."/>
      <w:lvlJc w:val="left"/>
      <w:pPr>
        <w:tabs>
          <w:tab w:val="num" w:pos="3600"/>
        </w:tabs>
        <w:ind w:left="3600" w:hanging="360"/>
      </w:pPr>
    </w:lvl>
    <w:lvl w:ilvl="5" w:tplc="1602CC7A" w:tentative="1">
      <w:start w:val="1"/>
      <w:numFmt w:val="decimal"/>
      <w:lvlText w:val="%6."/>
      <w:lvlJc w:val="left"/>
      <w:pPr>
        <w:tabs>
          <w:tab w:val="num" w:pos="4320"/>
        </w:tabs>
        <w:ind w:left="4320" w:hanging="360"/>
      </w:pPr>
    </w:lvl>
    <w:lvl w:ilvl="6" w:tplc="0A9A1472" w:tentative="1">
      <w:start w:val="1"/>
      <w:numFmt w:val="decimal"/>
      <w:lvlText w:val="%7."/>
      <w:lvlJc w:val="left"/>
      <w:pPr>
        <w:tabs>
          <w:tab w:val="num" w:pos="5040"/>
        </w:tabs>
        <w:ind w:left="5040" w:hanging="360"/>
      </w:pPr>
    </w:lvl>
    <w:lvl w:ilvl="7" w:tplc="DD2A502C" w:tentative="1">
      <w:start w:val="1"/>
      <w:numFmt w:val="decimal"/>
      <w:lvlText w:val="%8."/>
      <w:lvlJc w:val="left"/>
      <w:pPr>
        <w:tabs>
          <w:tab w:val="num" w:pos="5760"/>
        </w:tabs>
        <w:ind w:left="5760" w:hanging="360"/>
      </w:pPr>
    </w:lvl>
    <w:lvl w:ilvl="8" w:tplc="09100B00" w:tentative="1">
      <w:start w:val="1"/>
      <w:numFmt w:val="decimal"/>
      <w:lvlText w:val="%9."/>
      <w:lvlJc w:val="left"/>
      <w:pPr>
        <w:tabs>
          <w:tab w:val="num" w:pos="6480"/>
        </w:tabs>
        <w:ind w:left="6480" w:hanging="360"/>
      </w:pPr>
    </w:lvl>
  </w:abstractNum>
  <w:abstractNum w:abstractNumId="11" w15:restartNumberingAfterBreak="0">
    <w:nsid w:val="41174A8D"/>
    <w:multiLevelType w:val="hybridMultilevel"/>
    <w:tmpl w:val="B3147470"/>
    <w:lvl w:ilvl="0" w:tplc="7CF8AE9C">
      <w:start w:val="1"/>
      <w:numFmt w:val="bullet"/>
      <w:lvlText w:val=""/>
      <w:lvlJc w:val="left"/>
      <w:pPr>
        <w:tabs>
          <w:tab w:val="num" w:pos="720"/>
        </w:tabs>
        <w:ind w:left="720" w:hanging="360"/>
      </w:pPr>
      <w:rPr>
        <w:rFonts w:ascii="Wingdings 2" w:hAnsi="Wingdings 2" w:hint="default"/>
      </w:rPr>
    </w:lvl>
    <w:lvl w:ilvl="1" w:tplc="32CAFC4C" w:tentative="1">
      <w:start w:val="1"/>
      <w:numFmt w:val="bullet"/>
      <w:lvlText w:val=""/>
      <w:lvlJc w:val="left"/>
      <w:pPr>
        <w:tabs>
          <w:tab w:val="num" w:pos="1440"/>
        </w:tabs>
        <w:ind w:left="1440" w:hanging="360"/>
      </w:pPr>
      <w:rPr>
        <w:rFonts w:ascii="Wingdings 2" w:hAnsi="Wingdings 2" w:hint="default"/>
      </w:rPr>
    </w:lvl>
    <w:lvl w:ilvl="2" w:tplc="AB0A4FC0" w:tentative="1">
      <w:start w:val="1"/>
      <w:numFmt w:val="bullet"/>
      <w:lvlText w:val=""/>
      <w:lvlJc w:val="left"/>
      <w:pPr>
        <w:tabs>
          <w:tab w:val="num" w:pos="2160"/>
        </w:tabs>
        <w:ind w:left="2160" w:hanging="360"/>
      </w:pPr>
      <w:rPr>
        <w:rFonts w:ascii="Wingdings 2" w:hAnsi="Wingdings 2" w:hint="default"/>
      </w:rPr>
    </w:lvl>
    <w:lvl w:ilvl="3" w:tplc="F2B244C6" w:tentative="1">
      <w:start w:val="1"/>
      <w:numFmt w:val="bullet"/>
      <w:lvlText w:val=""/>
      <w:lvlJc w:val="left"/>
      <w:pPr>
        <w:tabs>
          <w:tab w:val="num" w:pos="2880"/>
        </w:tabs>
        <w:ind w:left="2880" w:hanging="360"/>
      </w:pPr>
      <w:rPr>
        <w:rFonts w:ascii="Wingdings 2" w:hAnsi="Wingdings 2" w:hint="default"/>
      </w:rPr>
    </w:lvl>
    <w:lvl w:ilvl="4" w:tplc="E258FD4A" w:tentative="1">
      <w:start w:val="1"/>
      <w:numFmt w:val="bullet"/>
      <w:lvlText w:val=""/>
      <w:lvlJc w:val="left"/>
      <w:pPr>
        <w:tabs>
          <w:tab w:val="num" w:pos="3600"/>
        </w:tabs>
        <w:ind w:left="3600" w:hanging="360"/>
      </w:pPr>
      <w:rPr>
        <w:rFonts w:ascii="Wingdings 2" w:hAnsi="Wingdings 2" w:hint="default"/>
      </w:rPr>
    </w:lvl>
    <w:lvl w:ilvl="5" w:tplc="AADEB7EA" w:tentative="1">
      <w:start w:val="1"/>
      <w:numFmt w:val="bullet"/>
      <w:lvlText w:val=""/>
      <w:lvlJc w:val="left"/>
      <w:pPr>
        <w:tabs>
          <w:tab w:val="num" w:pos="4320"/>
        </w:tabs>
        <w:ind w:left="4320" w:hanging="360"/>
      </w:pPr>
      <w:rPr>
        <w:rFonts w:ascii="Wingdings 2" w:hAnsi="Wingdings 2" w:hint="default"/>
      </w:rPr>
    </w:lvl>
    <w:lvl w:ilvl="6" w:tplc="2034D526" w:tentative="1">
      <w:start w:val="1"/>
      <w:numFmt w:val="bullet"/>
      <w:lvlText w:val=""/>
      <w:lvlJc w:val="left"/>
      <w:pPr>
        <w:tabs>
          <w:tab w:val="num" w:pos="5040"/>
        </w:tabs>
        <w:ind w:left="5040" w:hanging="360"/>
      </w:pPr>
      <w:rPr>
        <w:rFonts w:ascii="Wingdings 2" w:hAnsi="Wingdings 2" w:hint="default"/>
      </w:rPr>
    </w:lvl>
    <w:lvl w:ilvl="7" w:tplc="C98C93E0" w:tentative="1">
      <w:start w:val="1"/>
      <w:numFmt w:val="bullet"/>
      <w:lvlText w:val=""/>
      <w:lvlJc w:val="left"/>
      <w:pPr>
        <w:tabs>
          <w:tab w:val="num" w:pos="5760"/>
        </w:tabs>
        <w:ind w:left="5760" w:hanging="360"/>
      </w:pPr>
      <w:rPr>
        <w:rFonts w:ascii="Wingdings 2" w:hAnsi="Wingdings 2" w:hint="default"/>
      </w:rPr>
    </w:lvl>
    <w:lvl w:ilvl="8" w:tplc="85A48ADC"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1650D4C"/>
    <w:multiLevelType w:val="hybridMultilevel"/>
    <w:tmpl w:val="7752E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BE6F1D"/>
    <w:multiLevelType w:val="hybridMultilevel"/>
    <w:tmpl w:val="85FC8A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E6242"/>
    <w:multiLevelType w:val="hybridMultilevel"/>
    <w:tmpl w:val="A6A48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3A0719"/>
    <w:multiLevelType w:val="hybridMultilevel"/>
    <w:tmpl w:val="E9EA7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310307"/>
    <w:multiLevelType w:val="hybridMultilevel"/>
    <w:tmpl w:val="968C1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972159"/>
    <w:multiLevelType w:val="hybridMultilevel"/>
    <w:tmpl w:val="2F4CEE32"/>
    <w:lvl w:ilvl="0" w:tplc="080A0001">
      <w:start w:val="1"/>
      <w:numFmt w:val="bullet"/>
      <w:lvlText w:val=""/>
      <w:lvlJc w:val="left"/>
      <w:pPr>
        <w:ind w:left="5430" w:hanging="360"/>
      </w:pPr>
      <w:rPr>
        <w:rFonts w:ascii="Symbol" w:hAnsi="Symbol" w:hint="default"/>
      </w:rPr>
    </w:lvl>
    <w:lvl w:ilvl="1" w:tplc="080A0003" w:tentative="1">
      <w:start w:val="1"/>
      <w:numFmt w:val="bullet"/>
      <w:lvlText w:val="o"/>
      <w:lvlJc w:val="left"/>
      <w:pPr>
        <w:ind w:left="6150" w:hanging="360"/>
      </w:pPr>
      <w:rPr>
        <w:rFonts w:ascii="Courier New" w:hAnsi="Courier New" w:cs="Courier New" w:hint="default"/>
      </w:rPr>
    </w:lvl>
    <w:lvl w:ilvl="2" w:tplc="080A0005" w:tentative="1">
      <w:start w:val="1"/>
      <w:numFmt w:val="bullet"/>
      <w:lvlText w:val=""/>
      <w:lvlJc w:val="left"/>
      <w:pPr>
        <w:ind w:left="6870" w:hanging="360"/>
      </w:pPr>
      <w:rPr>
        <w:rFonts w:ascii="Wingdings" w:hAnsi="Wingdings" w:hint="default"/>
      </w:rPr>
    </w:lvl>
    <w:lvl w:ilvl="3" w:tplc="080A0001" w:tentative="1">
      <w:start w:val="1"/>
      <w:numFmt w:val="bullet"/>
      <w:lvlText w:val=""/>
      <w:lvlJc w:val="left"/>
      <w:pPr>
        <w:ind w:left="7590" w:hanging="360"/>
      </w:pPr>
      <w:rPr>
        <w:rFonts w:ascii="Symbol" w:hAnsi="Symbol" w:hint="default"/>
      </w:rPr>
    </w:lvl>
    <w:lvl w:ilvl="4" w:tplc="080A0003" w:tentative="1">
      <w:start w:val="1"/>
      <w:numFmt w:val="bullet"/>
      <w:lvlText w:val="o"/>
      <w:lvlJc w:val="left"/>
      <w:pPr>
        <w:ind w:left="8310" w:hanging="360"/>
      </w:pPr>
      <w:rPr>
        <w:rFonts w:ascii="Courier New" w:hAnsi="Courier New" w:cs="Courier New" w:hint="default"/>
      </w:rPr>
    </w:lvl>
    <w:lvl w:ilvl="5" w:tplc="080A0005" w:tentative="1">
      <w:start w:val="1"/>
      <w:numFmt w:val="bullet"/>
      <w:lvlText w:val=""/>
      <w:lvlJc w:val="left"/>
      <w:pPr>
        <w:ind w:left="9030" w:hanging="360"/>
      </w:pPr>
      <w:rPr>
        <w:rFonts w:ascii="Wingdings" w:hAnsi="Wingdings" w:hint="default"/>
      </w:rPr>
    </w:lvl>
    <w:lvl w:ilvl="6" w:tplc="080A0001" w:tentative="1">
      <w:start w:val="1"/>
      <w:numFmt w:val="bullet"/>
      <w:lvlText w:val=""/>
      <w:lvlJc w:val="left"/>
      <w:pPr>
        <w:ind w:left="9750" w:hanging="360"/>
      </w:pPr>
      <w:rPr>
        <w:rFonts w:ascii="Symbol" w:hAnsi="Symbol" w:hint="default"/>
      </w:rPr>
    </w:lvl>
    <w:lvl w:ilvl="7" w:tplc="080A0003" w:tentative="1">
      <w:start w:val="1"/>
      <w:numFmt w:val="bullet"/>
      <w:lvlText w:val="o"/>
      <w:lvlJc w:val="left"/>
      <w:pPr>
        <w:ind w:left="10470" w:hanging="360"/>
      </w:pPr>
      <w:rPr>
        <w:rFonts w:ascii="Courier New" w:hAnsi="Courier New" w:cs="Courier New" w:hint="default"/>
      </w:rPr>
    </w:lvl>
    <w:lvl w:ilvl="8" w:tplc="080A0005" w:tentative="1">
      <w:start w:val="1"/>
      <w:numFmt w:val="bullet"/>
      <w:lvlText w:val=""/>
      <w:lvlJc w:val="left"/>
      <w:pPr>
        <w:ind w:left="11190" w:hanging="360"/>
      </w:pPr>
      <w:rPr>
        <w:rFonts w:ascii="Wingdings" w:hAnsi="Wingdings" w:hint="default"/>
      </w:rPr>
    </w:lvl>
  </w:abstractNum>
  <w:abstractNum w:abstractNumId="18" w15:restartNumberingAfterBreak="0">
    <w:nsid w:val="5A220F13"/>
    <w:multiLevelType w:val="hybridMultilevel"/>
    <w:tmpl w:val="12A6B56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637079FF"/>
    <w:multiLevelType w:val="hybridMultilevel"/>
    <w:tmpl w:val="F964F8A8"/>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7D446B1"/>
    <w:multiLevelType w:val="hybridMultilevel"/>
    <w:tmpl w:val="7DC2E61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1" w15:restartNumberingAfterBreak="0">
    <w:nsid w:val="7AD50FAB"/>
    <w:multiLevelType w:val="hybridMultilevel"/>
    <w:tmpl w:val="8D3A8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7812A1"/>
    <w:multiLevelType w:val="multilevel"/>
    <w:tmpl w:val="AAE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12"/>
  </w:num>
  <w:num w:numId="4">
    <w:abstractNumId w:val="21"/>
  </w:num>
  <w:num w:numId="5">
    <w:abstractNumId w:val="4"/>
  </w:num>
  <w:num w:numId="6">
    <w:abstractNumId w:val="7"/>
  </w:num>
  <w:num w:numId="7">
    <w:abstractNumId w:val="6"/>
  </w:num>
  <w:num w:numId="8">
    <w:abstractNumId w:val="2"/>
  </w:num>
  <w:num w:numId="9">
    <w:abstractNumId w:val="3"/>
  </w:num>
  <w:num w:numId="10">
    <w:abstractNumId w:val="18"/>
  </w:num>
  <w:num w:numId="11">
    <w:abstractNumId w:val="9"/>
  </w:num>
  <w:num w:numId="12">
    <w:abstractNumId w:val="10"/>
  </w:num>
  <w:num w:numId="13">
    <w:abstractNumId w:val="22"/>
  </w:num>
  <w:num w:numId="14">
    <w:abstractNumId w:val="20"/>
  </w:num>
  <w:num w:numId="15">
    <w:abstractNumId w:val="16"/>
  </w:num>
  <w:num w:numId="16">
    <w:abstractNumId w:val="9"/>
  </w:num>
  <w:num w:numId="17">
    <w:abstractNumId w:val="17"/>
  </w:num>
  <w:num w:numId="18">
    <w:abstractNumId w:val="15"/>
  </w:num>
  <w:num w:numId="19">
    <w:abstractNumId w:val="0"/>
  </w:num>
  <w:num w:numId="20">
    <w:abstractNumId w:val="11"/>
  </w:num>
  <w:num w:numId="21">
    <w:abstractNumId w:val="8"/>
  </w:num>
  <w:num w:numId="22">
    <w:abstractNumId w:val="1"/>
  </w:num>
  <w:num w:numId="23">
    <w:abstractNumId w:val="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CAF"/>
    <w:rsid w:val="0000181A"/>
    <w:rsid w:val="0000451C"/>
    <w:rsid w:val="00012949"/>
    <w:rsid w:val="00021996"/>
    <w:rsid w:val="00023BE9"/>
    <w:rsid w:val="00027CCD"/>
    <w:rsid w:val="00042648"/>
    <w:rsid w:val="000470EE"/>
    <w:rsid w:val="000541DF"/>
    <w:rsid w:val="00055727"/>
    <w:rsid w:val="0005618D"/>
    <w:rsid w:val="000579FE"/>
    <w:rsid w:val="00067DC0"/>
    <w:rsid w:val="000921F7"/>
    <w:rsid w:val="0009247E"/>
    <w:rsid w:val="00096712"/>
    <w:rsid w:val="000A06D6"/>
    <w:rsid w:val="000A331F"/>
    <w:rsid w:val="000A6390"/>
    <w:rsid w:val="000B43F7"/>
    <w:rsid w:val="000C5BB8"/>
    <w:rsid w:val="000C7031"/>
    <w:rsid w:val="000C73E6"/>
    <w:rsid w:val="000D4F6E"/>
    <w:rsid w:val="000E01C1"/>
    <w:rsid w:val="000F7A99"/>
    <w:rsid w:val="00101274"/>
    <w:rsid w:val="00120ACF"/>
    <w:rsid w:val="00130300"/>
    <w:rsid w:val="0014243C"/>
    <w:rsid w:val="00144EA6"/>
    <w:rsid w:val="00145049"/>
    <w:rsid w:val="00150311"/>
    <w:rsid w:val="001540D0"/>
    <w:rsid w:val="00172A11"/>
    <w:rsid w:val="0017351F"/>
    <w:rsid w:val="00176BDF"/>
    <w:rsid w:val="001807F5"/>
    <w:rsid w:val="001825A7"/>
    <w:rsid w:val="00187369"/>
    <w:rsid w:val="00191CD0"/>
    <w:rsid w:val="00191F51"/>
    <w:rsid w:val="00193C53"/>
    <w:rsid w:val="00195EF0"/>
    <w:rsid w:val="001B3802"/>
    <w:rsid w:val="001B3822"/>
    <w:rsid w:val="001B3FE5"/>
    <w:rsid w:val="001B4149"/>
    <w:rsid w:val="001C4206"/>
    <w:rsid w:val="001D0019"/>
    <w:rsid w:val="001D7011"/>
    <w:rsid w:val="001E7C89"/>
    <w:rsid w:val="00210E3A"/>
    <w:rsid w:val="002142FF"/>
    <w:rsid w:val="00224A7E"/>
    <w:rsid w:val="00234328"/>
    <w:rsid w:val="00244E94"/>
    <w:rsid w:val="0024772A"/>
    <w:rsid w:val="002526DD"/>
    <w:rsid w:val="00254F72"/>
    <w:rsid w:val="00260046"/>
    <w:rsid w:val="00284360"/>
    <w:rsid w:val="002856DF"/>
    <w:rsid w:val="00297FF2"/>
    <w:rsid w:val="002A3192"/>
    <w:rsid w:val="002A3E22"/>
    <w:rsid w:val="002A5023"/>
    <w:rsid w:val="002A71D0"/>
    <w:rsid w:val="002C1A11"/>
    <w:rsid w:val="002C2FF9"/>
    <w:rsid w:val="002C4577"/>
    <w:rsid w:val="002C63C7"/>
    <w:rsid w:val="002D544B"/>
    <w:rsid w:val="002F24CE"/>
    <w:rsid w:val="00306931"/>
    <w:rsid w:val="0031662D"/>
    <w:rsid w:val="00325F7E"/>
    <w:rsid w:val="00340E64"/>
    <w:rsid w:val="0035340A"/>
    <w:rsid w:val="0035443B"/>
    <w:rsid w:val="00357285"/>
    <w:rsid w:val="003614A6"/>
    <w:rsid w:val="00361BE9"/>
    <w:rsid w:val="003661BF"/>
    <w:rsid w:val="00370062"/>
    <w:rsid w:val="003741DE"/>
    <w:rsid w:val="003756C8"/>
    <w:rsid w:val="0037767C"/>
    <w:rsid w:val="00383AC8"/>
    <w:rsid w:val="003943A8"/>
    <w:rsid w:val="0039538C"/>
    <w:rsid w:val="003A70B2"/>
    <w:rsid w:val="003B2C82"/>
    <w:rsid w:val="003B533A"/>
    <w:rsid w:val="003B5431"/>
    <w:rsid w:val="003B67DC"/>
    <w:rsid w:val="003C2A01"/>
    <w:rsid w:val="003E0F37"/>
    <w:rsid w:val="003E53EA"/>
    <w:rsid w:val="003F7DEE"/>
    <w:rsid w:val="00402338"/>
    <w:rsid w:val="00406E81"/>
    <w:rsid w:val="00413910"/>
    <w:rsid w:val="00417B32"/>
    <w:rsid w:val="004206BE"/>
    <w:rsid w:val="004215E7"/>
    <w:rsid w:val="00430343"/>
    <w:rsid w:val="004369B7"/>
    <w:rsid w:val="00437506"/>
    <w:rsid w:val="0043768A"/>
    <w:rsid w:val="00440422"/>
    <w:rsid w:val="00441ECD"/>
    <w:rsid w:val="00450590"/>
    <w:rsid w:val="004563B1"/>
    <w:rsid w:val="004563C9"/>
    <w:rsid w:val="00457034"/>
    <w:rsid w:val="00460672"/>
    <w:rsid w:val="004618FE"/>
    <w:rsid w:val="004703AC"/>
    <w:rsid w:val="00482E12"/>
    <w:rsid w:val="00487580"/>
    <w:rsid w:val="0049609A"/>
    <w:rsid w:val="004B17FB"/>
    <w:rsid w:val="004C20D1"/>
    <w:rsid w:val="004C2EF0"/>
    <w:rsid w:val="004D1096"/>
    <w:rsid w:val="004D2541"/>
    <w:rsid w:val="004E6E55"/>
    <w:rsid w:val="00503A8C"/>
    <w:rsid w:val="00507549"/>
    <w:rsid w:val="005159EC"/>
    <w:rsid w:val="00516076"/>
    <w:rsid w:val="0052153B"/>
    <w:rsid w:val="0052170F"/>
    <w:rsid w:val="00530506"/>
    <w:rsid w:val="00531932"/>
    <w:rsid w:val="005325BE"/>
    <w:rsid w:val="005360EE"/>
    <w:rsid w:val="00540D17"/>
    <w:rsid w:val="00546697"/>
    <w:rsid w:val="00555604"/>
    <w:rsid w:val="00560563"/>
    <w:rsid w:val="0056554B"/>
    <w:rsid w:val="00574CA0"/>
    <w:rsid w:val="00576A93"/>
    <w:rsid w:val="00585643"/>
    <w:rsid w:val="005A0BA6"/>
    <w:rsid w:val="005A1821"/>
    <w:rsid w:val="005A5678"/>
    <w:rsid w:val="005A75B3"/>
    <w:rsid w:val="005B4664"/>
    <w:rsid w:val="005D02DE"/>
    <w:rsid w:val="005D1142"/>
    <w:rsid w:val="005E0F73"/>
    <w:rsid w:val="005E450F"/>
    <w:rsid w:val="005F489C"/>
    <w:rsid w:val="005F524A"/>
    <w:rsid w:val="00601E73"/>
    <w:rsid w:val="00604CC1"/>
    <w:rsid w:val="00606DC7"/>
    <w:rsid w:val="00607EBD"/>
    <w:rsid w:val="006231BE"/>
    <w:rsid w:val="00626F08"/>
    <w:rsid w:val="00630B75"/>
    <w:rsid w:val="006346F3"/>
    <w:rsid w:val="0063604D"/>
    <w:rsid w:val="006617A5"/>
    <w:rsid w:val="00662304"/>
    <w:rsid w:val="0068364A"/>
    <w:rsid w:val="006852F7"/>
    <w:rsid w:val="006B468A"/>
    <w:rsid w:val="006B791A"/>
    <w:rsid w:val="006C1FFF"/>
    <w:rsid w:val="006D11B4"/>
    <w:rsid w:val="006E23A8"/>
    <w:rsid w:val="006F03E1"/>
    <w:rsid w:val="006F0B52"/>
    <w:rsid w:val="006F426A"/>
    <w:rsid w:val="006F6137"/>
    <w:rsid w:val="00701A19"/>
    <w:rsid w:val="0070475B"/>
    <w:rsid w:val="00705CB2"/>
    <w:rsid w:val="007060B4"/>
    <w:rsid w:val="007068F7"/>
    <w:rsid w:val="00712F09"/>
    <w:rsid w:val="0071440F"/>
    <w:rsid w:val="00720B5E"/>
    <w:rsid w:val="00724E2D"/>
    <w:rsid w:val="00726389"/>
    <w:rsid w:val="007346BE"/>
    <w:rsid w:val="00761716"/>
    <w:rsid w:val="00761AF8"/>
    <w:rsid w:val="007665A6"/>
    <w:rsid w:val="00774AD5"/>
    <w:rsid w:val="00774DCA"/>
    <w:rsid w:val="00775ADC"/>
    <w:rsid w:val="00791749"/>
    <w:rsid w:val="007A5FA4"/>
    <w:rsid w:val="007B019A"/>
    <w:rsid w:val="007B7347"/>
    <w:rsid w:val="007C0635"/>
    <w:rsid w:val="007C6A8F"/>
    <w:rsid w:val="007C7CC3"/>
    <w:rsid w:val="007D5138"/>
    <w:rsid w:val="007E5BB6"/>
    <w:rsid w:val="007E6745"/>
    <w:rsid w:val="007E6D43"/>
    <w:rsid w:val="007F5E37"/>
    <w:rsid w:val="00810CB8"/>
    <w:rsid w:val="008118FA"/>
    <w:rsid w:val="00817D88"/>
    <w:rsid w:val="00831CFC"/>
    <w:rsid w:val="00835602"/>
    <w:rsid w:val="00846AFB"/>
    <w:rsid w:val="0084786C"/>
    <w:rsid w:val="0085609F"/>
    <w:rsid w:val="0086273E"/>
    <w:rsid w:val="00866C73"/>
    <w:rsid w:val="00877C70"/>
    <w:rsid w:val="008810F4"/>
    <w:rsid w:val="00885ED9"/>
    <w:rsid w:val="00890134"/>
    <w:rsid w:val="00892667"/>
    <w:rsid w:val="0089277B"/>
    <w:rsid w:val="008932E0"/>
    <w:rsid w:val="008B16B2"/>
    <w:rsid w:val="008B4BF5"/>
    <w:rsid w:val="008B6AB9"/>
    <w:rsid w:val="008C1A15"/>
    <w:rsid w:val="008C4F9A"/>
    <w:rsid w:val="008D4691"/>
    <w:rsid w:val="008E0981"/>
    <w:rsid w:val="008E2A43"/>
    <w:rsid w:val="008E46D7"/>
    <w:rsid w:val="008F3FA3"/>
    <w:rsid w:val="009059DD"/>
    <w:rsid w:val="00905F1F"/>
    <w:rsid w:val="00906D39"/>
    <w:rsid w:val="00914F60"/>
    <w:rsid w:val="00916AF0"/>
    <w:rsid w:val="00920CAF"/>
    <w:rsid w:val="00926D4A"/>
    <w:rsid w:val="0093246D"/>
    <w:rsid w:val="00932AFC"/>
    <w:rsid w:val="00934654"/>
    <w:rsid w:val="0096051B"/>
    <w:rsid w:val="009615FD"/>
    <w:rsid w:val="009677FF"/>
    <w:rsid w:val="009706FE"/>
    <w:rsid w:val="009779E4"/>
    <w:rsid w:val="00986792"/>
    <w:rsid w:val="009A7E4F"/>
    <w:rsid w:val="009B1F2A"/>
    <w:rsid w:val="009B2588"/>
    <w:rsid w:val="009B40BA"/>
    <w:rsid w:val="009B60AF"/>
    <w:rsid w:val="009B7443"/>
    <w:rsid w:val="009C13AE"/>
    <w:rsid w:val="009C2B23"/>
    <w:rsid w:val="009C531C"/>
    <w:rsid w:val="009D3221"/>
    <w:rsid w:val="009F14B5"/>
    <w:rsid w:val="00A00380"/>
    <w:rsid w:val="00A01BC3"/>
    <w:rsid w:val="00A066FE"/>
    <w:rsid w:val="00A14208"/>
    <w:rsid w:val="00A201AF"/>
    <w:rsid w:val="00A25136"/>
    <w:rsid w:val="00A27AB1"/>
    <w:rsid w:val="00A34748"/>
    <w:rsid w:val="00A53895"/>
    <w:rsid w:val="00A60C5B"/>
    <w:rsid w:val="00A61ED7"/>
    <w:rsid w:val="00A63D3D"/>
    <w:rsid w:val="00A64626"/>
    <w:rsid w:val="00A649E4"/>
    <w:rsid w:val="00A679F3"/>
    <w:rsid w:val="00A7200C"/>
    <w:rsid w:val="00A8104F"/>
    <w:rsid w:val="00A8550B"/>
    <w:rsid w:val="00A8754F"/>
    <w:rsid w:val="00A905A5"/>
    <w:rsid w:val="00A97795"/>
    <w:rsid w:val="00AA581F"/>
    <w:rsid w:val="00AB428B"/>
    <w:rsid w:val="00AB57EB"/>
    <w:rsid w:val="00AD6E9D"/>
    <w:rsid w:val="00AE3816"/>
    <w:rsid w:val="00AE3FC9"/>
    <w:rsid w:val="00AF69C3"/>
    <w:rsid w:val="00B01C45"/>
    <w:rsid w:val="00B038F1"/>
    <w:rsid w:val="00B06124"/>
    <w:rsid w:val="00B10C4B"/>
    <w:rsid w:val="00B17579"/>
    <w:rsid w:val="00B17BBE"/>
    <w:rsid w:val="00B275E6"/>
    <w:rsid w:val="00B36219"/>
    <w:rsid w:val="00B379A4"/>
    <w:rsid w:val="00B37D37"/>
    <w:rsid w:val="00B46F3E"/>
    <w:rsid w:val="00B51C93"/>
    <w:rsid w:val="00B53C7D"/>
    <w:rsid w:val="00B57AD5"/>
    <w:rsid w:val="00B630B5"/>
    <w:rsid w:val="00B63F45"/>
    <w:rsid w:val="00B7015B"/>
    <w:rsid w:val="00B71EB4"/>
    <w:rsid w:val="00B766EA"/>
    <w:rsid w:val="00B77544"/>
    <w:rsid w:val="00B83A3D"/>
    <w:rsid w:val="00B931AF"/>
    <w:rsid w:val="00B9730D"/>
    <w:rsid w:val="00BA31A7"/>
    <w:rsid w:val="00BA388F"/>
    <w:rsid w:val="00BA6F00"/>
    <w:rsid w:val="00BB07A3"/>
    <w:rsid w:val="00BB30CE"/>
    <w:rsid w:val="00BC1DF4"/>
    <w:rsid w:val="00BC612E"/>
    <w:rsid w:val="00BD314F"/>
    <w:rsid w:val="00BE0A4D"/>
    <w:rsid w:val="00BF2A40"/>
    <w:rsid w:val="00BF674F"/>
    <w:rsid w:val="00C07D85"/>
    <w:rsid w:val="00C20DAC"/>
    <w:rsid w:val="00C2274B"/>
    <w:rsid w:val="00C321FE"/>
    <w:rsid w:val="00C36199"/>
    <w:rsid w:val="00C4474C"/>
    <w:rsid w:val="00C50920"/>
    <w:rsid w:val="00C63587"/>
    <w:rsid w:val="00C66133"/>
    <w:rsid w:val="00C74344"/>
    <w:rsid w:val="00C80597"/>
    <w:rsid w:val="00C94163"/>
    <w:rsid w:val="00C9599C"/>
    <w:rsid w:val="00CA02AE"/>
    <w:rsid w:val="00CA0C07"/>
    <w:rsid w:val="00CA7064"/>
    <w:rsid w:val="00CB6BA6"/>
    <w:rsid w:val="00CC04BF"/>
    <w:rsid w:val="00CD0060"/>
    <w:rsid w:val="00CE15E2"/>
    <w:rsid w:val="00CF781A"/>
    <w:rsid w:val="00D1013E"/>
    <w:rsid w:val="00D17350"/>
    <w:rsid w:val="00D20E97"/>
    <w:rsid w:val="00D2189A"/>
    <w:rsid w:val="00D27BFF"/>
    <w:rsid w:val="00D32B72"/>
    <w:rsid w:val="00D42686"/>
    <w:rsid w:val="00D4471F"/>
    <w:rsid w:val="00D45BB8"/>
    <w:rsid w:val="00D46801"/>
    <w:rsid w:val="00D47F21"/>
    <w:rsid w:val="00D53B65"/>
    <w:rsid w:val="00D65F43"/>
    <w:rsid w:val="00D67424"/>
    <w:rsid w:val="00D674BE"/>
    <w:rsid w:val="00D74678"/>
    <w:rsid w:val="00D8243C"/>
    <w:rsid w:val="00D8362B"/>
    <w:rsid w:val="00D84B31"/>
    <w:rsid w:val="00D91909"/>
    <w:rsid w:val="00D96395"/>
    <w:rsid w:val="00DA0319"/>
    <w:rsid w:val="00DB1260"/>
    <w:rsid w:val="00DB1F65"/>
    <w:rsid w:val="00DB5307"/>
    <w:rsid w:val="00DB6284"/>
    <w:rsid w:val="00DC0CBF"/>
    <w:rsid w:val="00DC1E7A"/>
    <w:rsid w:val="00DC577A"/>
    <w:rsid w:val="00DD52F0"/>
    <w:rsid w:val="00DE0B34"/>
    <w:rsid w:val="00DF784A"/>
    <w:rsid w:val="00E13E69"/>
    <w:rsid w:val="00E14D01"/>
    <w:rsid w:val="00E21F08"/>
    <w:rsid w:val="00E32948"/>
    <w:rsid w:val="00E51AE4"/>
    <w:rsid w:val="00E52F2C"/>
    <w:rsid w:val="00E55FBF"/>
    <w:rsid w:val="00E7267D"/>
    <w:rsid w:val="00E73B73"/>
    <w:rsid w:val="00E80B04"/>
    <w:rsid w:val="00E83D79"/>
    <w:rsid w:val="00E90BEA"/>
    <w:rsid w:val="00E91518"/>
    <w:rsid w:val="00EA04FB"/>
    <w:rsid w:val="00EA2235"/>
    <w:rsid w:val="00EA315B"/>
    <w:rsid w:val="00EA4B42"/>
    <w:rsid w:val="00EB46C0"/>
    <w:rsid w:val="00EC2DA1"/>
    <w:rsid w:val="00EE039F"/>
    <w:rsid w:val="00EE4F66"/>
    <w:rsid w:val="00EE6A27"/>
    <w:rsid w:val="00EF6837"/>
    <w:rsid w:val="00F0328A"/>
    <w:rsid w:val="00F06D0B"/>
    <w:rsid w:val="00F12421"/>
    <w:rsid w:val="00F128BF"/>
    <w:rsid w:val="00F12CB0"/>
    <w:rsid w:val="00F1633D"/>
    <w:rsid w:val="00F222F8"/>
    <w:rsid w:val="00F23276"/>
    <w:rsid w:val="00F24EF5"/>
    <w:rsid w:val="00F320EC"/>
    <w:rsid w:val="00F33801"/>
    <w:rsid w:val="00F43DCC"/>
    <w:rsid w:val="00F51237"/>
    <w:rsid w:val="00F61877"/>
    <w:rsid w:val="00F62329"/>
    <w:rsid w:val="00F62D6A"/>
    <w:rsid w:val="00F64FC0"/>
    <w:rsid w:val="00F70D4F"/>
    <w:rsid w:val="00F750CA"/>
    <w:rsid w:val="00F86FF8"/>
    <w:rsid w:val="00F93B2E"/>
    <w:rsid w:val="00FB1733"/>
    <w:rsid w:val="00FB30AE"/>
    <w:rsid w:val="00FB30C2"/>
    <w:rsid w:val="00FB530E"/>
    <w:rsid w:val="00FB6098"/>
    <w:rsid w:val="00FC0802"/>
    <w:rsid w:val="00FC4023"/>
    <w:rsid w:val="00FC5B53"/>
    <w:rsid w:val="00FD013D"/>
    <w:rsid w:val="00FD4430"/>
    <w:rsid w:val="00FD484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BAA2200"/>
  <w14:defaultImageDpi w14:val="300"/>
  <w15:docId w15:val="{8A16FCC9-0BD8-4DFA-A162-D6B9EC694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B0612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0CA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20CAF"/>
    <w:rPr>
      <w:rFonts w:ascii="Lucida Grande" w:hAnsi="Lucida Grande" w:cs="Lucida Grande"/>
      <w:sz w:val="18"/>
      <w:szCs w:val="18"/>
    </w:rPr>
  </w:style>
  <w:style w:type="paragraph" w:styleId="Encabezado">
    <w:name w:val="header"/>
    <w:basedOn w:val="Normal"/>
    <w:link w:val="EncabezadoCar"/>
    <w:uiPriority w:val="99"/>
    <w:unhideWhenUsed/>
    <w:rsid w:val="00920CAF"/>
    <w:pPr>
      <w:tabs>
        <w:tab w:val="center" w:pos="4252"/>
        <w:tab w:val="right" w:pos="8504"/>
      </w:tabs>
    </w:pPr>
  </w:style>
  <w:style w:type="character" w:customStyle="1" w:styleId="EncabezadoCar">
    <w:name w:val="Encabezado Car"/>
    <w:basedOn w:val="Fuentedeprrafopredeter"/>
    <w:link w:val="Encabezado"/>
    <w:uiPriority w:val="99"/>
    <w:rsid w:val="00920CAF"/>
  </w:style>
  <w:style w:type="paragraph" w:styleId="Piedepgina">
    <w:name w:val="footer"/>
    <w:basedOn w:val="Normal"/>
    <w:link w:val="PiedepginaCar"/>
    <w:uiPriority w:val="99"/>
    <w:unhideWhenUsed/>
    <w:rsid w:val="00920CAF"/>
    <w:pPr>
      <w:tabs>
        <w:tab w:val="center" w:pos="4252"/>
        <w:tab w:val="right" w:pos="8504"/>
      </w:tabs>
    </w:pPr>
  </w:style>
  <w:style w:type="character" w:customStyle="1" w:styleId="PiedepginaCar">
    <w:name w:val="Pie de página Car"/>
    <w:basedOn w:val="Fuentedeprrafopredeter"/>
    <w:link w:val="Piedepgina"/>
    <w:uiPriority w:val="99"/>
    <w:rsid w:val="00920CAF"/>
  </w:style>
  <w:style w:type="paragraph" w:styleId="Prrafodelista">
    <w:name w:val="List Paragraph"/>
    <w:basedOn w:val="Normal"/>
    <w:uiPriority w:val="34"/>
    <w:qFormat/>
    <w:rsid w:val="003F7DEE"/>
    <w:pPr>
      <w:ind w:left="720"/>
      <w:contextualSpacing/>
    </w:pPr>
  </w:style>
  <w:style w:type="paragraph" w:styleId="NormalWeb">
    <w:name w:val="Normal (Web)"/>
    <w:basedOn w:val="Normal"/>
    <w:uiPriority w:val="99"/>
    <w:unhideWhenUsed/>
    <w:rsid w:val="00F64FC0"/>
    <w:rPr>
      <w:rFonts w:ascii="Times New Roman" w:hAnsi="Times New Roman" w:cs="Times New Roman"/>
    </w:rPr>
  </w:style>
  <w:style w:type="character" w:styleId="Hipervnculo">
    <w:name w:val="Hyperlink"/>
    <w:basedOn w:val="Fuentedeprrafopredeter"/>
    <w:uiPriority w:val="99"/>
    <w:unhideWhenUsed/>
    <w:rsid w:val="00460672"/>
    <w:rPr>
      <w:color w:val="0000FF" w:themeColor="hyperlink"/>
      <w:u w:val="single"/>
    </w:rPr>
  </w:style>
  <w:style w:type="character" w:customStyle="1" w:styleId="il">
    <w:name w:val="il"/>
    <w:basedOn w:val="Fuentedeprrafopredeter"/>
    <w:rsid w:val="002C63C7"/>
  </w:style>
  <w:style w:type="paragraph" w:customStyle="1" w:styleId="Default">
    <w:name w:val="Default"/>
    <w:rsid w:val="00A97795"/>
    <w:pPr>
      <w:autoSpaceDE w:val="0"/>
      <w:autoSpaceDN w:val="0"/>
      <w:adjustRightInd w:val="0"/>
    </w:pPr>
    <w:rPr>
      <w:rFonts w:ascii="Arial" w:hAnsi="Arial" w:cs="Arial"/>
      <w:color w:val="000000"/>
      <w:lang w:val="es-MX"/>
    </w:rPr>
  </w:style>
  <w:style w:type="paragraph" w:customStyle="1" w:styleId="EYBodytextnoparaspace">
    <w:name w:val="EY Body text (no para space)"/>
    <w:basedOn w:val="Normal"/>
    <w:rsid w:val="00BB07A3"/>
    <w:pPr>
      <w:tabs>
        <w:tab w:val="left" w:pos="907"/>
      </w:tabs>
      <w:suppressAutoHyphens/>
      <w:spacing w:line="260" w:lineRule="atLeast"/>
    </w:pPr>
    <w:rPr>
      <w:rFonts w:ascii="Arial" w:eastAsia="Times New Roman" w:hAnsi="Arial" w:cs="Times New Roman"/>
      <w:kern w:val="12"/>
      <w:sz w:val="20"/>
      <w:lang w:val="en-US" w:eastAsia="en-US"/>
    </w:rPr>
  </w:style>
  <w:style w:type="character" w:customStyle="1" w:styleId="Mencinsinresolver1">
    <w:name w:val="Mención sin resolver1"/>
    <w:basedOn w:val="Fuentedeprrafopredeter"/>
    <w:uiPriority w:val="99"/>
    <w:semiHidden/>
    <w:unhideWhenUsed/>
    <w:rsid w:val="00A7200C"/>
    <w:rPr>
      <w:color w:val="808080"/>
      <w:shd w:val="clear" w:color="auto" w:fill="E6E6E6"/>
    </w:rPr>
  </w:style>
  <w:style w:type="character" w:customStyle="1" w:styleId="Ttulo3Car">
    <w:name w:val="Título 3 Car"/>
    <w:basedOn w:val="Fuentedeprrafopredeter"/>
    <w:link w:val="Ttulo3"/>
    <w:uiPriority w:val="9"/>
    <w:semiHidden/>
    <w:rsid w:val="00B0612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269507">
      <w:bodyDiv w:val="1"/>
      <w:marLeft w:val="0"/>
      <w:marRight w:val="0"/>
      <w:marTop w:val="0"/>
      <w:marBottom w:val="0"/>
      <w:divBdr>
        <w:top w:val="none" w:sz="0" w:space="0" w:color="auto"/>
        <w:left w:val="none" w:sz="0" w:space="0" w:color="auto"/>
        <w:bottom w:val="none" w:sz="0" w:space="0" w:color="auto"/>
        <w:right w:val="none" w:sz="0" w:space="0" w:color="auto"/>
      </w:divBdr>
    </w:div>
    <w:div w:id="1207985422">
      <w:bodyDiv w:val="1"/>
      <w:marLeft w:val="0"/>
      <w:marRight w:val="0"/>
      <w:marTop w:val="0"/>
      <w:marBottom w:val="0"/>
      <w:divBdr>
        <w:top w:val="none" w:sz="0" w:space="0" w:color="auto"/>
        <w:left w:val="none" w:sz="0" w:space="0" w:color="auto"/>
        <w:bottom w:val="none" w:sz="0" w:space="0" w:color="auto"/>
        <w:right w:val="none" w:sz="0" w:space="0" w:color="auto"/>
      </w:divBdr>
    </w:div>
    <w:div w:id="1274753605">
      <w:bodyDiv w:val="1"/>
      <w:marLeft w:val="0"/>
      <w:marRight w:val="0"/>
      <w:marTop w:val="0"/>
      <w:marBottom w:val="0"/>
      <w:divBdr>
        <w:top w:val="none" w:sz="0" w:space="0" w:color="auto"/>
        <w:left w:val="none" w:sz="0" w:space="0" w:color="auto"/>
        <w:bottom w:val="none" w:sz="0" w:space="0" w:color="auto"/>
        <w:right w:val="none" w:sz="0" w:space="0" w:color="auto"/>
      </w:divBdr>
      <w:divsChild>
        <w:div w:id="1845634332">
          <w:marLeft w:val="720"/>
          <w:marRight w:val="0"/>
          <w:marTop w:val="0"/>
          <w:marBottom w:val="0"/>
          <w:divBdr>
            <w:top w:val="none" w:sz="0" w:space="0" w:color="auto"/>
            <w:left w:val="none" w:sz="0" w:space="0" w:color="auto"/>
            <w:bottom w:val="none" w:sz="0" w:space="0" w:color="auto"/>
            <w:right w:val="none" w:sz="0" w:space="0" w:color="auto"/>
          </w:divBdr>
        </w:div>
        <w:div w:id="1523588734">
          <w:marLeft w:val="720"/>
          <w:marRight w:val="0"/>
          <w:marTop w:val="0"/>
          <w:marBottom w:val="0"/>
          <w:divBdr>
            <w:top w:val="none" w:sz="0" w:space="0" w:color="auto"/>
            <w:left w:val="none" w:sz="0" w:space="0" w:color="auto"/>
            <w:bottom w:val="none" w:sz="0" w:space="0" w:color="auto"/>
            <w:right w:val="none" w:sz="0" w:space="0" w:color="auto"/>
          </w:divBdr>
        </w:div>
      </w:divsChild>
    </w:div>
    <w:div w:id="1341275731">
      <w:bodyDiv w:val="1"/>
      <w:marLeft w:val="0"/>
      <w:marRight w:val="0"/>
      <w:marTop w:val="0"/>
      <w:marBottom w:val="0"/>
      <w:divBdr>
        <w:top w:val="none" w:sz="0" w:space="0" w:color="auto"/>
        <w:left w:val="none" w:sz="0" w:space="0" w:color="auto"/>
        <w:bottom w:val="none" w:sz="0" w:space="0" w:color="auto"/>
        <w:right w:val="none" w:sz="0" w:space="0" w:color="auto"/>
      </w:divBdr>
    </w:div>
    <w:div w:id="1441101160">
      <w:bodyDiv w:val="1"/>
      <w:marLeft w:val="0"/>
      <w:marRight w:val="0"/>
      <w:marTop w:val="0"/>
      <w:marBottom w:val="0"/>
      <w:divBdr>
        <w:top w:val="none" w:sz="0" w:space="0" w:color="auto"/>
        <w:left w:val="none" w:sz="0" w:space="0" w:color="auto"/>
        <w:bottom w:val="none" w:sz="0" w:space="0" w:color="auto"/>
        <w:right w:val="none" w:sz="0" w:space="0" w:color="auto"/>
      </w:divBdr>
      <w:divsChild>
        <w:div w:id="2129229457">
          <w:marLeft w:val="432"/>
          <w:marRight w:val="0"/>
          <w:marTop w:val="134"/>
          <w:marBottom w:val="0"/>
          <w:divBdr>
            <w:top w:val="none" w:sz="0" w:space="0" w:color="auto"/>
            <w:left w:val="none" w:sz="0" w:space="0" w:color="auto"/>
            <w:bottom w:val="none" w:sz="0" w:space="0" w:color="auto"/>
            <w:right w:val="none" w:sz="0" w:space="0" w:color="auto"/>
          </w:divBdr>
        </w:div>
        <w:div w:id="1265529269">
          <w:marLeft w:val="432"/>
          <w:marRight w:val="0"/>
          <w:marTop w:val="134"/>
          <w:marBottom w:val="0"/>
          <w:divBdr>
            <w:top w:val="none" w:sz="0" w:space="0" w:color="auto"/>
            <w:left w:val="none" w:sz="0" w:space="0" w:color="auto"/>
            <w:bottom w:val="none" w:sz="0" w:space="0" w:color="auto"/>
            <w:right w:val="none" w:sz="0" w:space="0" w:color="auto"/>
          </w:divBdr>
        </w:div>
      </w:divsChild>
    </w:div>
    <w:div w:id="1450666657">
      <w:bodyDiv w:val="1"/>
      <w:marLeft w:val="0"/>
      <w:marRight w:val="0"/>
      <w:marTop w:val="0"/>
      <w:marBottom w:val="0"/>
      <w:divBdr>
        <w:top w:val="none" w:sz="0" w:space="0" w:color="auto"/>
        <w:left w:val="none" w:sz="0" w:space="0" w:color="auto"/>
        <w:bottom w:val="none" w:sz="0" w:space="0" w:color="auto"/>
        <w:right w:val="none" w:sz="0" w:space="0" w:color="auto"/>
      </w:divBdr>
    </w:div>
    <w:div w:id="1513105058">
      <w:bodyDiv w:val="1"/>
      <w:marLeft w:val="0"/>
      <w:marRight w:val="0"/>
      <w:marTop w:val="0"/>
      <w:marBottom w:val="0"/>
      <w:divBdr>
        <w:top w:val="none" w:sz="0" w:space="0" w:color="auto"/>
        <w:left w:val="none" w:sz="0" w:space="0" w:color="auto"/>
        <w:bottom w:val="none" w:sz="0" w:space="0" w:color="auto"/>
        <w:right w:val="none" w:sz="0" w:space="0" w:color="auto"/>
      </w:divBdr>
      <w:divsChild>
        <w:div w:id="1979533303">
          <w:marLeft w:val="432"/>
          <w:marRight w:val="0"/>
          <w:marTop w:val="125"/>
          <w:marBottom w:val="0"/>
          <w:divBdr>
            <w:top w:val="none" w:sz="0" w:space="0" w:color="auto"/>
            <w:left w:val="none" w:sz="0" w:space="0" w:color="auto"/>
            <w:bottom w:val="none" w:sz="0" w:space="0" w:color="auto"/>
            <w:right w:val="none" w:sz="0" w:space="0" w:color="auto"/>
          </w:divBdr>
        </w:div>
      </w:divsChild>
    </w:div>
    <w:div w:id="1672101808">
      <w:bodyDiv w:val="1"/>
      <w:marLeft w:val="0"/>
      <w:marRight w:val="0"/>
      <w:marTop w:val="0"/>
      <w:marBottom w:val="0"/>
      <w:divBdr>
        <w:top w:val="none" w:sz="0" w:space="0" w:color="auto"/>
        <w:left w:val="none" w:sz="0" w:space="0" w:color="auto"/>
        <w:bottom w:val="none" w:sz="0" w:space="0" w:color="auto"/>
        <w:right w:val="none" w:sz="0" w:space="0" w:color="auto"/>
      </w:divBdr>
    </w:div>
    <w:div w:id="1681345299">
      <w:bodyDiv w:val="1"/>
      <w:marLeft w:val="0"/>
      <w:marRight w:val="0"/>
      <w:marTop w:val="0"/>
      <w:marBottom w:val="0"/>
      <w:divBdr>
        <w:top w:val="none" w:sz="0" w:space="0" w:color="auto"/>
        <w:left w:val="none" w:sz="0" w:space="0" w:color="auto"/>
        <w:bottom w:val="none" w:sz="0" w:space="0" w:color="auto"/>
        <w:right w:val="none" w:sz="0" w:space="0" w:color="auto"/>
      </w:divBdr>
    </w:div>
    <w:div w:id="1738242482">
      <w:bodyDiv w:val="1"/>
      <w:marLeft w:val="0"/>
      <w:marRight w:val="0"/>
      <w:marTop w:val="0"/>
      <w:marBottom w:val="0"/>
      <w:divBdr>
        <w:top w:val="none" w:sz="0" w:space="0" w:color="auto"/>
        <w:left w:val="none" w:sz="0" w:space="0" w:color="auto"/>
        <w:bottom w:val="none" w:sz="0" w:space="0" w:color="auto"/>
        <w:right w:val="none" w:sz="0" w:space="0" w:color="auto"/>
      </w:divBdr>
    </w:div>
    <w:div w:id="1822425273">
      <w:bodyDiv w:val="1"/>
      <w:marLeft w:val="0"/>
      <w:marRight w:val="0"/>
      <w:marTop w:val="0"/>
      <w:marBottom w:val="0"/>
      <w:divBdr>
        <w:top w:val="none" w:sz="0" w:space="0" w:color="auto"/>
        <w:left w:val="none" w:sz="0" w:space="0" w:color="auto"/>
        <w:bottom w:val="none" w:sz="0" w:space="0" w:color="auto"/>
        <w:right w:val="none" w:sz="0" w:space="0" w:color="auto"/>
      </w:divBdr>
    </w:div>
    <w:div w:id="1991976350">
      <w:bodyDiv w:val="1"/>
      <w:marLeft w:val="0"/>
      <w:marRight w:val="0"/>
      <w:marTop w:val="0"/>
      <w:marBottom w:val="0"/>
      <w:divBdr>
        <w:top w:val="none" w:sz="0" w:space="0" w:color="auto"/>
        <w:left w:val="none" w:sz="0" w:space="0" w:color="auto"/>
        <w:bottom w:val="none" w:sz="0" w:space="0" w:color="auto"/>
        <w:right w:val="none" w:sz="0" w:space="0" w:color="auto"/>
      </w:divBdr>
      <w:divsChild>
        <w:div w:id="298153328">
          <w:marLeft w:val="432"/>
          <w:marRight w:val="0"/>
          <w:marTop w:val="125"/>
          <w:marBottom w:val="0"/>
          <w:divBdr>
            <w:top w:val="none" w:sz="0" w:space="0" w:color="auto"/>
            <w:left w:val="none" w:sz="0" w:space="0" w:color="auto"/>
            <w:bottom w:val="none" w:sz="0" w:space="0" w:color="auto"/>
            <w:right w:val="none" w:sz="0" w:space="0" w:color="auto"/>
          </w:divBdr>
        </w:div>
      </w:divsChild>
    </w:div>
    <w:div w:id="2103716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nacif@ebc.edu.mx"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45244-FF64-4203-976C-002F8607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811</Words>
  <Characters>4462</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Nacif Tajonar</dc:creator>
  <cp:keywords/>
  <dc:description/>
  <cp:lastModifiedBy>Juan Pablo Nuñez Nacif</cp:lastModifiedBy>
  <cp:revision>2</cp:revision>
  <cp:lastPrinted>2019-10-10T19:45:00Z</cp:lastPrinted>
  <dcterms:created xsi:type="dcterms:W3CDTF">2020-05-05T22:00:00Z</dcterms:created>
  <dcterms:modified xsi:type="dcterms:W3CDTF">2020-05-05T22:00:00Z</dcterms:modified>
</cp:coreProperties>
</file>