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AF" w:rsidRDefault="00920CAF">
      <w:r>
        <w:rPr>
          <w:noProof/>
          <w:lang w:val="es-MX" w:eastAsia="es-MX"/>
        </w:rPr>
        <w:drawing>
          <wp:anchor distT="0" distB="0" distL="114300" distR="114300" simplePos="0" relativeHeight="251658240" behindDoc="1" locked="0" layoutInCell="1" allowOverlap="1" wp14:anchorId="189DF198" wp14:editId="7E4A1F85">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0529A9E7" wp14:editId="2A67B712">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66B0" w:rsidRPr="005E66B0" w:rsidRDefault="00A27AB1" w:rsidP="005E66B0">
                            <w:pPr>
                              <w:shd w:val="clear" w:color="auto" w:fill="FFFFFF"/>
                              <w:spacing w:before="100" w:beforeAutospacing="1" w:after="100" w:afterAutospacing="1"/>
                              <w:jc w:val="center"/>
                              <w:rPr>
                                <w:rFonts w:ascii="Arial" w:eastAsia="Times New Roman" w:hAnsi="Arial" w:cs="Arial"/>
                                <w:b/>
                                <w:lang w:val="es-MX" w:eastAsia="es-MX"/>
                              </w:rPr>
                            </w:pPr>
                            <w:r>
                              <w:rPr>
                                <w:rFonts w:ascii="Arial" w:eastAsia="MS Gothic" w:hAnsi="Arial" w:cs="Arial"/>
                                <w:b/>
                                <w:spacing w:val="10"/>
                                <w:lang w:val="es-MX" w:eastAsia="ja-JP"/>
                              </w:rPr>
                              <w:t xml:space="preserve">   </w:t>
                            </w:r>
                            <w:r w:rsidRPr="00A27AB1">
                              <w:rPr>
                                <w:rFonts w:ascii="Arial" w:eastAsia="Times New Roman" w:hAnsi="Arial" w:cs="Arial"/>
                                <w:b/>
                                <w:lang w:val="es-ES" w:eastAsia="es-MX"/>
                              </w:rPr>
                              <w:t xml:space="preserve"> </w:t>
                            </w:r>
                          </w:p>
                          <w:p w:rsidR="005E66B0" w:rsidRPr="005E66B0" w:rsidRDefault="005E66B0" w:rsidP="005E66B0">
                            <w:pPr>
                              <w:spacing w:after="160" w:line="259" w:lineRule="auto"/>
                              <w:jc w:val="center"/>
                              <w:rPr>
                                <w:rFonts w:ascii="Arial" w:eastAsia="Times New Roman" w:hAnsi="Arial" w:cs="Arial"/>
                                <w:b/>
                                <w:lang w:val="es-MX" w:eastAsia="es-MX"/>
                              </w:rPr>
                            </w:pPr>
                            <w:r w:rsidRPr="005E66B0">
                              <w:rPr>
                                <w:rFonts w:ascii="Arial" w:eastAsia="Times New Roman" w:hAnsi="Arial" w:cs="Arial"/>
                                <w:b/>
                                <w:lang w:val="es-MX" w:eastAsia="es-MX"/>
                              </w:rPr>
                              <w:t>CRISIS EMOCIONAL Y PRODUCTIVIDAD</w:t>
                            </w:r>
                          </w:p>
                          <w:p w:rsidR="00D67433" w:rsidRPr="00D67433" w:rsidRDefault="00D67433" w:rsidP="00D67433">
                            <w:pPr>
                              <w:pStyle w:val="Prrafodelista"/>
                              <w:numPr>
                                <w:ilvl w:val="0"/>
                                <w:numId w:val="11"/>
                              </w:numPr>
                              <w:spacing w:after="200" w:line="276" w:lineRule="auto"/>
                              <w:rPr>
                                <w:rFonts w:ascii="Arial" w:hAnsi="Arial" w:cs="Arial"/>
                                <w:i/>
                                <w:lang w:eastAsia="ja-JP"/>
                              </w:rPr>
                            </w:pPr>
                            <w:r w:rsidRPr="00D67433">
                              <w:rPr>
                                <w:rFonts w:ascii="Arial" w:hAnsi="Arial" w:cs="Arial"/>
                                <w:i/>
                                <w:lang w:eastAsia="ja-JP"/>
                              </w:rPr>
                              <w:t xml:space="preserve">Falta cultura de protección civil. </w:t>
                            </w:r>
                          </w:p>
                          <w:p w:rsidR="00D67433" w:rsidRPr="00D67433" w:rsidRDefault="00D67433" w:rsidP="00D67433">
                            <w:pPr>
                              <w:pStyle w:val="Prrafodelista"/>
                              <w:numPr>
                                <w:ilvl w:val="0"/>
                                <w:numId w:val="4"/>
                              </w:numPr>
                              <w:spacing w:after="200" w:line="276" w:lineRule="auto"/>
                              <w:rPr>
                                <w:rFonts w:ascii="Arial" w:eastAsia="Calibri" w:hAnsi="Arial" w:cs="Arial"/>
                                <w:i/>
                                <w:sz w:val="22"/>
                                <w:szCs w:val="22"/>
                                <w:lang w:val="es-MX" w:eastAsia="ja-JP"/>
                              </w:rPr>
                            </w:pPr>
                            <w:r w:rsidRPr="00D67433">
                              <w:rPr>
                                <w:rFonts w:ascii="Arial" w:hAnsi="Arial" w:cs="Arial"/>
                                <w:i/>
                                <w:iCs/>
                                <w:color w:val="222222"/>
                                <w:sz w:val="22"/>
                                <w:szCs w:val="22"/>
                              </w:rPr>
                              <w:t>D</w:t>
                            </w:r>
                            <w:proofErr w:type="spellStart"/>
                            <w:r w:rsidRPr="00D67433">
                              <w:rPr>
                                <w:rFonts w:ascii="Arial" w:eastAsia="Calibri" w:hAnsi="Arial" w:cs="Arial"/>
                                <w:i/>
                                <w:sz w:val="22"/>
                                <w:szCs w:val="22"/>
                                <w:lang w:val="es-MX" w:eastAsia="ja-JP"/>
                              </w:rPr>
                              <w:t>isminuye</w:t>
                            </w:r>
                            <w:proofErr w:type="spellEnd"/>
                            <w:r w:rsidRPr="00D67433">
                              <w:rPr>
                                <w:rFonts w:ascii="Arial" w:eastAsia="Calibri" w:hAnsi="Arial" w:cs="Arial"/>
                                <w:i/>
                                <w:sz w:val="22"/>
                                <w:szCs w:val="22"/>
                                <w:lang w:val="es-MX" w:eastAsia="ja-JP"/>
                              </w:rPr>
                              <w:t xml:space="preserve"> un 20% la productividad laboral por miedo a los sismos.  </w:t>
                            </w:r>
                          </w:p>
                          <w:p w:rsidR="00710046" w:rsidRDefault="00710046" w:rsidP="00710046">
                            <w:pPr>
                              <w:jc w:val="both"/>
                              <w:rPr>
                                <w:rFonts w:ascii="Arial" w:eastAsia="Calibri" w:hAnsi="Arial" w:cs="Arial"/>
                                <w:i/>
                                <w:sz w:val="22"/>
                                <w:szCs w:val="22"/>
                                <w:lang w:val="es-MX" w:eastAsia="ja-JP"/>
                              </w:rPr>
                            </w:pPr>
                          </w:p>
                          <w:p w:rsidR="00A27AB1" w:rsidRDefault="00710046" w:rsidP="00A27AB1">
                            <w:pPr>
                              <w:jc w:val="both"/>
                              <w:rPr>
                                <w:rFonts w:ascii="Arial" w:eastAsia="Calibri" w:hAnsi="Arial" w:cs="Arial"/>
                                <w:sz w:val="22"/>
                                <w:szCs w:val="22"/>
                                <w:lang w:val="es-MX" w:eastAsia="ja-JP"/>
                              </w:rPr>
                            </w:pPr>
                            <w:r w:rsidRPr="00710046">
                              <w:rPr>
                                <w:rFonts w:ascii="Arial" w:eastAsia="Calibri" w:hAnsi="Arial" w:cs="Arial"/>
                                <w:b/>
                                <w:sz w:val="22"/>
                                <w:szCs w:val="22"/>
                                <w:lang w:val="es-MX" w:eastAsia="ja-JP"/>
                              </w:rPr>
                              <w:t>Tuxtla Gutiérrez, Chiapas a 13 de septiembre 2017.</w:t>
                            </w:r>
                            <w:r w:rsidRPr="00710046">
                              <w:rPr>
                                <w:rFonts w:ascii="Arial" w:eastAsia="Calibri" w:hAnsi="Arial" w:cs="Arial"/>
                                <w:sz w:val="22"/>
                                <w:szCs w:val="22"/>
                                <w:lang w:val="es-MX" w:eastAsia="ja-JP"/>
                              </w:rPr>
                              <w:t xml:space="preserve"> Alma Jiménez Barrios, docente e investigadora de la Escuela Bancaria y Comercial (EBC) Campus  Chiapas, expuso que después del sismo del siete de septiembre pasado, existe un claro aumento en los niveles de estrés y ansiedad, lo cual está afectando la productividad laboral del estado en al menos un 20%. </w:t>
                            </w:r>
                          </w:p>
                          <w:p w:rsidR="00710046" w:rsidRPr="00710046" w:rsidRDefault="00710046" w:rsidP="00A27AB1">
                            <w:pPr>
                              <w:jc w:val="both"/>
                              <w:rPr>
                                <w:rFonts w:ascii="Arial" w:eastAsia="Calibri" w:hAnsi="Arial" w:cs="Arial"/>
                                <w:sz w:val="22"/>
                                <w:szCs w:val="22"/>
                                <w:lang w:val="es-MX" w:eastAsia="ja-JP"/>
                              </w:rPr>
                            </w:pP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La afectación en la productividad laboral se debe principalmente al temor de que vuelva presentarse un fenómeno similar. Debido a que en Chiapas el 98% de las empresas son </w:t>
                            </w:r>
                            <w:proofErr w:type="spellStart"/>
                            <w:r w:rsidRPr="00710046">
                              <w:rPr>
                                <w:rFonts w:ascii="Arial" w:eastAsia="Calibri" w:hAnsi="Arial" w:cs="Arial"/>
                                <w:sz w:val="22"/>
                                <w:szCs w:val="22"/>
                                <w:lang w:val="es-MX" w:eastAsia="ja-JP"/>
                              </w:rPr>
                              <w:t>PyMes</w:t>
                            </w:r>
                            <w:proofErr w:type="spellEnd"/>
                            <w:r w:rsidRPr="00710046">
                              <w:rPr>
                                <w:rFonts w:ascii="Arial" w:eastAsia="Calibri" w:hAnsi="Arial" w:cs="Arial"/>
                                <w:sz w:val="22"/>
                                <w:szCs w:val="22"/>
                                <w:lang w:val="es-MX" w:eastAsia="ja-JP"/>
                              </w:rPr>
                              <w:t xml:space="preserve">, de las cuales la gran mayoría administradas por familias o con menos de 10 trabajadores, se han visto mayormente afectadas por no contar con la asesoría correcta respecto al tema de prevención de desastres.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“En México alrededor del 4% de la población sufre de fobia a los temblores, conocida como </w:t>
                            </w:r>
                            <w:proofErr w:type="spellStart"/>
                            <w:r w:rsidRPr="00710046">
                              <w:rPr>
                                <w:rFonts w:ascii="Arial" w:eastAsia="Calibri" w:hAnsi="Arial" w:cs="Arial"/>
                                <w:i/>
                                <w:sz w:val="22"/>
                                <w:szCs w:val="22"/>
                                <w:lang w:val="es-MX" w:eastAsia="ja-JP"/>
                              </w:rPr>
                              <w:t>tremofobia</w:t>
                            </w:r>
                            <w:proofErr w:type="spellEnd"/>
                            <w:r w:rsidRPr="00710046">
                              <w:rPr>
                                <w:rFonts w:ascii="Arial" w:eastAsia="Calibri" w:hAnsi="Arial" w:cs="Arial"/>
                                <w:sz w:val="22"/>
                                <w:szCs w:val="22"/>
                                <w:lang w:val="es-MX" w:eastAsia="ja-JP"/>
                              </w:rPr>
                              <w:t>, pero después de lo sucedido el pasado jueves, se estima que el 16% de la población padezca esta fobia de manera temporal, pudiendo presentar;</w:t>
                            </w:r>
                            <w:r>
                              <w:rPr>
                                <w:rFonts w:ascii="Arial" w:eastAsia="Calibri" w:hAnsi="Arial" w:cs="Arial"/>
                                <w:sz w:val="22"/>
                                <w:szCs w:val="22"/>
                                <w:lang w:val="es-MX" w:eastAsia="ja-JP"/>
                              </w:rPr>
                              <w:t xml:space="preserve"> ansiedad, estrés, </w:t>
                            </w:r>
                            <w:bookmarkStart w:id="0" w:name="_GoBack"/>
                            <w:bookmarkEnd w:id="0"/>
                            <w:r w:rsidRPr="00710046">
                              <w:rPr>
                                <w:rFonts w:ascii="Arial" w:eastAsia="Calibri" w:hAnsi="Arial" w:cs="Arial"/>
                                <w:sz w:val="22"/>
                                <w:szCs w:val="22"/>
                                <w:lang w:val="es-MX" w:eastAsia="ja-JP"/>
                              </w:rPr>
                              <w:t xml:space="preserve">e incluso inmovilización y desmayos cada que se presente un sismo” destacó la académica.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“Explicó que es necesario analizar, tanto en las empresas como de manera individual, cual fue nuestra respuesta durante el terremoto de 8.2 sucedido hace una semana, para poder fomentar una cultura de protección civil y saber qué hacer en caso de que se presente un sismo de igual magnitud, evitando así, afectar más el estado emocional de las personas que laboran junto a nosotros” agregó.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Las áreas de recursos humanos deben realizar actividades diagnósticas para determinar el estado de ánimo de los trabajadores y detectar casos de depresión, crisis, shock o ansiedad, y así buscar esquemas de canalización que ayuden a superar el suceso.</w:t>
                            </w:r>
                          </w:p>
                          <w:p w:rsidR="00487580" w:rsidRDefault="00487580" w:rsidP="00487580">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5E66B0" w:rsidRPr="005E66B0" w:rsidRDefault="00A27AB1" w:rsidP="005E66B0">
                      <w:pPr>
                        <w:shd w:val="clear" w:color="auto" w:fill="FFFFFF"/>
                        <w:spacing w:before="100" w:beforeAutospacing="1" w:after="100" w:afterAutospacing="1"/>
                        <w:jc w:val="center"/>
                        <w:rPr>
                          <w:rFonts w:ascii="Arial" w:eastAsia="Times New Roman" w:hAnsi="Arial" w:cs="Arial"/>
                          <w:b/>
                          <w:lang w:val="es-MX" w:eastAsia="es-MX"/>
                        </w:rPr>
                      </w:pPr>
                      <w:r>
                        <w:rPr>
                          <w:rFonts w:ascii="Arial" w:eastAsia="MS Gothic" w:hAnsi="Arial" w:cs="Arial"/>
                          <w:b/>
                          <w:spacing w:val="10"/>
                          <w:lang w:val="es-MX" w:eastAsia="ja-JP"/>
                        </w:rPr>
                        <w:t xml:space="preserve">   </w:t>
                      </w:r>
                      <w:r w:rsidRPr="00A27AB1">
                        <w:rPr>
                          <w:rFonts w:ascii="Arial" w:eastAsia="Times New Roman" w:hAnsi="Arial" w:cs="Arial"/>
                          <w:b/>
                          <w:lang w:val="es-ES" w:eastAsia="es-MX"/>
                        </w:rPr>
                        <w:t xml:space="preserve"> </w:t>
                      </w:r>
                    </w:p>
                    <w:p w:rsidR="005E66B0" w:rsidRPr="005E66B0" w:rsidRDefault="005E66B0" w:rsidP="005E66B0">
                      <w:pPr>
                        <w:spacing w:after="160" w:line="259" w:lineRule="auto"/>
                        <w:jc w:val="center"/>
                        <w:rPr>
                          <w:rFonts w:ascii="Arial" w:eastAsia="Times New Roman" w:hAnsi="Arial" w:cs="Arial"/>
                          <w:b/>
                          <w:lang w:val="es-MX" w:eastAsia="es-MX"/>
                        </w:rPr>
                      </w:pPr>
                      <w:r w:rsidRPr="005E66B0">
                        <w:rPr>
                          <w:rFonts w:ascii="Arial" w:eastAsia="Times New Roman" w:hAnsi="Arial" w:cs="Arial"/>
                          <w:b/>
                          <w:lang w:val="es-MX" w:eastAsia="es-MX"/>
                        </w:rPr>
                        <w:t>CRISIS EMOCIONAL Y PRODUCTIVIDAD</w:t>
                      </w:r>
                    </w:p>
                    <w:p w:rsidR="00D67433" w:rsidRPr="00D67433" w:rsidRDefault="00D67433" w:rsidP="00D67433">
                      <w:pPr>
                        <w:pStyle w:val="Prrafodelista"/>
                        <w:numPr>
                          <w:ilvl w:val="0"/>
                          <w:numId w:val="11"/>
                        </w:numPr>
                        <w:spacing w:after="200" w:line="276" w:lineRule="auto"/>
                        <w:rPr>
                          <w:rFonts w:ascii="Arial" w:hAnsi="Arial" w:cs="Arial"/>
                          <w:i/>
                          <w:lang w:eastAsia="ja-JP"/>
                        </w:rPr>
                      </w:pPr>
                      <w:r w:rsidRPr="00D67433">
                        <w:rPr>
                          <w:rFonts w:ascii="Arial" w:hAnsi="Arial" w:cs="Arial"/>
                          <w:i/>
                          <w:lang w:eastAsia="ja-JP"/>
                        </w:rPr>
                        <w:t xml:space="preserve">Falta cultura de protección civil. </w:t>
                      </w:r>
                    </w:p>
                    <w:p w:rsidR="00D67433" w:rsidRPr="00D67433" w:rsidRDefault="00D67433" w:rsidP="00D67433">
                      <w:pPr>
                        <w:pStyle w:val="Prrafodelista"/>
                        <w:numPr>
                          <w:ilvl w:val="0"/>
                          <w:numId w:val="4"/>
                        </w:numPr>
                        <w:spacing w:after="200" w:line="276" w:lineRule="auto"/>
                        <w:rPr>
                          <w:rFonts w:ascii="Arial" w:eastAsia="Calibri" w:hAnsi="Arial" w:cs="Arial"/>
                          <w:i/>
                          <w:sz w:val="22"/>
                          <w:szCs w:val="22"/>
                          <w:lang w:val="es-MX" w:eastAsia="ja-JP"/>
                        </w:rPr>
                      </w:pPr>
                      <w:r w:rsidRPr="00D67433">
                        <w:rPr>
                          <w:rFonts w:ascii="Arial" w:hAnsi="Arial" w:cs="Arial"/>
                          <w:i/>
                          <w:iCs/>
                          <w:color w:val="222222"/>
                          <w:sz w:val="22"/>
                          <w:szCs w:val="22"/>
                        </w:rPr>
                        <w:t>D</w:t>
                      </w:r>
                      <w:proofErr w:type="spellStart"/>
                      <w:r w:rsidRPr="00D67433">
                        <w:rPr>
                          <w:rFonts w:ascii="Arial" w:eastAsia="Calibri" w:hAnsi="Arial" w:cs="Arial"/>
                          <w:i/>
                          <w:sz w:val="22"/>
                          <w:szCs w:val="22"/>
                          <w:lang w:val="es-MX" w:eastAsia="ja-JP"/>
                        </w:rPr>
                        <w:t>isminuye</w:t>
                      </w:r>
                      <w:proofErr w:type="spellEnd"/>
                      <w:r w:rsidRPr="00D67433">
                        <w:rPr>
                          <w:rFonts w:ascii="Arial" w:eastAsia="Calibri" w:hAnsi="Arial" w:cs="Arial"/>
                          <w:i/>
                          <w:sz w:val="22"/>
                          <w:szCs w:val="22"/>
                          <w:lang w:val="es-MX" w:eastAsia="ja-JP"/>
                        </w:rPr>
                        <w:t xml:space="preserve"> un 20% la productividad laboral por miedo a los sismos.  </w:t>
                      </w:r>
                    </w:p>
                    <w:p w:rsidR="00710046" w:rsidRDefault="00710046" w:rsidP="00710046">
                      <w:pPr>
                        <w:jc w:val="both"/>
                        <w:rPr>
                          <w:rFonts w:ascii="Arial" w:eastAsia="Calibri" w:hAnsi="Arial" w:cs="Arial"/>
                          <w:i/>
                          <w:sz w:val="22"/>
                          <w:szCs w:val="22"/>
                          <w:lang w:val="es-MX" w:eastAsia="ja-JP"/>
                        </w:rPr>
                      </w:pPr>
                    </w:p>
                    <w:p w:rsidR="00A27AB1" w:rsidRDefault="00710046" w:rsidP="00A27AB1">
                      <w:pPr>
                        <w:jc w:val="both"/>
                        <w:rPr>
                          <w:rFonts w:ascii="Arial" w:eastAsia="Calibri" w:hAnsi="Arial" w:cs="Arial"/>
                          <w:sz w:val="22"/>
                          <w:szCs w:val="22"/>
                          <w:lang w:val="es-MX" w:eastAsia="ja-JP"/>
                        </w:rPr>
                      </w:pPr>
                      <w:r w:rsidRPr="00710046">
                        <w:rPr>
                          <w:rFonts w:ascii="Arial" w:eastAsia="Calibri" w:hAnsi="Arial" w:cs="Arial"/>
                          <w:b/>
                          <w:sz w:val="22"/>
                          <w:szCs w:val="22"/>
                          <w:lang w:val="es-MX" w:eastAsia="ja-JP"/>
                        </w:rPr>
                        <w:t>Tuxtla Gutiérrez, Chiapas a 13 de septiembre 2017.</w:t>
                      </w:r>
                      <w:r w:rsidRPr="00710046">
                        <w:rPr>
                          <w:rFonts w:ascii="Arial" w:eastAsia="Calibri" w:hAnsi="Arial" w:cs="Arial"/>
                          <w:sz w:val="22"/>
                          <w:szCs w:val="22"/>
                          <w:lang w:val="es-MX" w:eastAsia="ja-JP"/>
                        </w:rPr>
                        <w:t xml:space="preserve"> Alma Jiménez Barrios, docente e investigadora de la Escuela Bancaria y Comercial (EBC) Campus  Chiapas, expuso que después del sismo del siete de septiembre pasado, existe un claro aumento en los niveles de estrés y ansiedad, lo cual está afectando la productividad laboral del estado en al menos un 20%. </w:t>
                      </w:r>
                    </w:p>
                    <w:p w:rsidR="00710046" w:rsidRPr="00710046" w:rsidRDefault="00710046" w:rsidP="00A27AB1">
                      <w:pPr>
                        <w:jc w:val="both"/>
                        <w:rPr>
                          <w:rFonts w:ascii="Arial" w:eastAsia="Calibri" w:hAnsi="Arial" w:cs="Arial"/>
                          <w:sz w:val="22"/>
                          <w:szCs w:val="22"/>
                          <w:lang w:val="es-MX" w:eastAsia="ja-JP"/>
                        </w:rPr>
                      </w:pP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La afectación en la productividad laboral se debe principalmente al temor de que vuelva presentarse un fenómeno similar. Debido a que en Chiapas el 98% de las empresas son </w:t>
                      </w:r>
                      <w:proofErr w:type="spellStart"/>
                      <w:r w:rsidRPr="00710046">
                        <w:rPr>
                          <w:rFonts w:ascii="Arial" w:eastAsia="Calibri" w:hAnsi="Arial" w:cs="Arial"/>
                          <w:sz w:val="22"/>
                          <w:szCs w:val="22"/>
                          <w:lang w:val="es-MX" w:eastAsia="ja-JP"/>
                        </w:rPr>
                        <w:t>PyMes</w:t>
                      </w:r>
                      <w:proofErr w:type="spellEnd"/>
                      <w:r w:rsidRPr="00710046">
                        <w:rPr>
                          <w:rFonts w:ascii="Arial" w:eastAsia="Calibri" w:hAnsi="Arial" w:cs="Arial"/>
                          <w:sz w:val="22"/>
                          <w:szCs w:val="22"/>
                          <w:lang w:val="es-MX" w:eastAsia="ja-JP"/>
                        </w:rPr>
                        <w:t xml:space="preserve">, de las cuales la gran mayoría administradas por familias o con menos de 10 trabajadores, se han visto mayormente afectadas por no contar con la asesoría correcta respecto al tema de prevención de desastres.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“En México alrededor del 4% de la población sufre de fobia a los temblores, conocida como </w:t>
                      </w:r>
                      <w:proofErr w:type="spellStart"/>
                      <w:r w:rsidRPr="00710046">
                        <w:rPr>
                          <w:rFonts w:ascii="Arial" w:eastAsia="Calibri" w:hAnsi="Arial" w:cs="Arial"/>
                          <w:i/>
                          <w:sz w:val="22"/>
                          <w:szCs w:val="22"/>
                          <w:lang w:val="es-MX" w:eastAsia="ja-JP"/>
                        </w:rPr>
                        <w:t>tremofobia</w:t>
                      </w:r>
                      <w:proofErr w:type="spellEnd"/>
                      <w:r w:rsidRPr="00710046">
                        <w:rPr>
                          <w:rFonts w:ascii="Arial" w:eastAsia="Calibri" w:hAnsi="Arial" w:cs="Arial"/>
                          <w:sz w:val="22"/>
                          <w:szCs w:val="22"/>
                          <w:lang w:val="es-MX" w:eastAsia="ja-JP"/>
                        </w:rPr>
                        <w:t>, pero después de lo sucedido el pasado jueves, se estima que el 16% de la población padezca esta fobia de manera temporal, pudiendo presentar;</w:t>
                      </w:r>
                      <w:r>
                        <w:rPr>
                          <w:rFonts w:ascii="Arial" w:eastAsia="Calibri" w:hAnsi="Arial" w:cs="Arial"/>
                          <w:sz w:val="22"/>
                          <w:szCs w:val="22"/>
                          <w:lang w:val="es-MX" w:eastAsia="ja-JP"/>
                        </w:rPr>
                        <w:t xml:space="preserve"> ansiedad, estrés, </w:t>
                      </w:r>
                      <w:bookmarkStart w:id="1" w:name="_GoBack"/>
                      <w:bookmarkEnd w:id="1"/>
                      <w:r w:rsidRPr="00710046">
                        <w:rPr>
                          <w:rFonts w:ascii="Arial" w:eastAsia="Calibri" w:hAnsi="Arial" w:cs="Arial"/>
                          <w:sz w:val="22"/>
                          <w:szCs w:val="22"/>
                          <w:lang w:val="es-MX" w:eastAsia="ja-JP"/>
                        </w:rPr>
                        <w:t xml:space="preserve">e incluso inmovilización y desmayos cada que se presente un sismo” destacó la académica.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“Explicó que es necesario analizar, tanto en las empresas como de manera individual, cual fue nuestra respuesta durante el terremoto de 8.2 sucedido hace una semana, para poder fomentar una cultura de protección civil y saber qué hacer en caso de que se presente un sismo de igual magnitud, evitando así, afectar más el estado emocional de las personas que laboran junto a nosotros” agregó.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Las áreas de recursos humanos deben realizar actividades diagnósticas para determinar el estado de ánimo de los trabajadores y detectar casos de depresión, crisis, shock o ansiedad, y así buscar esquemas de canalización que ayuden a superar el suceso.</w:t>
                      </w:r>
                    </w:p>
                    <w:p w:rsidR="00487580" w:rsidRDefault="00487580" w:rsidP="00487580">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rsidR="00920CAF" w:rsidRDefault="00920CAF"/>
    <w:p w:rsidR="00920CAF" w:rsidRDefault="00920CAF"/>
    <w:p w:rsidR="00920CAF" w:rsidRDefault="00920CAF"/>
    <w:p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0700DA48" wp14:editId="46C2A4B1">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487580" w:rsidRDefault="00487580" w:rsidP="00487580">
      <w:pPr>
        <w:spacing w:after="200" w:line="276" w:lineRule="auto"/>
        <w:jc w:val="both"/>
        <w:rPr>
          <w:rFonts w:ascii="Arial" w:eastAsia="Calibri" w:hAnsi="Arial" w:cs="Arial"/>
          <w:sz w:val="22"/>
          <w:szCs w:val="22"/>
          <w:lang w:val="es-MX" w:eastAsia="ja-JP"/>
        </w:rPr>
      </w:pP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“Debemos aceptar que vivimos en una zona sísmica y esto no va a cambiar, a partir de eso, es conveniente aceptar que seguirán las réplicas, y que todo el tiempo seguirá temblando, pero que eso no es motivo para no trabajar o vivir con miedo todo el tiempo” determinó Jiménez Barrios. </w:t>
      </w:r>
    </w:p>
    <w:p w:rsidR="00710046" w:rsidRPr="00710046" w:rsidRDefault="00710046" w:rsidP="00710046">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“Hay que aprender de lo que pasó, ver cual fue nuestra reacción, que estuvo bien y que estuvo mal de lo que hicimos en ese momento, y lo más importante corregir todo aquello que ponga en peligro nuestra vida, la de nuestros compañeros y familiares” finalizó. </w:t>
      </w:r>
    </w:p>
    <w:p w:rsidR="00CA02AE" w:rsidRPr="00487580" w:rsidRDefault="00710046" w:rsidP="00487580">
      <w:pPr>
        <w:spacing w:after="200" w:line="276" w:lineRule="auto"/>
        <w:jc w:val="both"/>
        <w:rPr>
          <w:rFonts w:ascii="Arial" w:eastAsia="Calibri" w:hAnsi="Arial" w:cs="Arial"/>
          <w:sz w:val="22"/>
          <w:szCs w:val="22"/>
          <w:lang w:val="es-MX" w:eastAsia="ja-JP"/>
        </w:rPr>
      </w:pPr>
      <w:r w:rsidRPr="00710046">
        <w:rPr>
          <w:rFonts w:ascii="Arial" w:eastAsia="Calibri" w:hAnsi="Arial" w:cs="Arial"/>
          <w:sz w:val="22"/>
          <w:szCs w:val="22"/>
          <w:lang w:val="es-MX" w:eastAsia="ja-JP"/>
        </w:rPr>
        <w:t xml:space="preserve">Es necesario crear una cultura de prevención comenzando en casa; armando un plan de acción ante desastres naturales, tener papeles importantes a la mano, contar con un botiquín portátil, tener una mochila con artículos indispensables; tener un plan de acción con vecinos, familiares y personas cercanas, ubicar las salidas de emergencias, ubicar los lugares seguros dentro de casa y, finalmente estar pendientes a los avisos de las autoridades. </w:t>
      </w:r>
    </w:p>
    <w:p w:rsidR="009F14B5" w:rsidRPr="00487580" w:rsidRDefault="006C1FFF" w:rsidP="00487580">
      <w:pPr>
        <w:spacing w:after="200" w:line="276" w:lineRule="auto"/>
        <w:jc w:val="center"/>
        <w:rPr>
          <w:rFonts w:ascii="Arial" w:eastAsia="Calibri" w:hAnsi="Arial" w:cs="Arial"/>
          <w:sz w:val="22"/>
          <w:szCs w:val="22"/>
          <w:shd w:val="clear" w:color="auto" w:fill="FFFFFF"/>
          <w:lang w:val="es-MX" w:eastAsia="en-US"/>
        </w:rPr>
      </w:pPr>
      <w:r>
        <w:rPr>
          <w:rFonts w:ascii="Arial" w:eastAsia="Calibri" w:hAnsi="Arial" w:cs="Arial"/>
          <w:sz w:val="22"/>
          <w:szCs w:val="22"/>
          <w:shd w:val="clear" w:color="auto" w:fill="FFFFFF"/>
          <w:lang w:val="es-MX" w:eastAsia="en-US"/>
        </w:rPr>
        <w:t>###</w:t>
      </w:r>
    </w:p>
    <w:p w:rsidR="0031662D" w:rsidRPr="00C4474C" w:rsidRDefault="0031662D" w:rsidP="0031662D">
      <w:pPr>
        <w:widowControl w:val="0"/>
        <w:shd w:val="clear" w:color="auto" w:fill="FFFFFF"/>
        <w:jc w:val="both"/>
        <w:rPr>
          <w:rFonts w:ascii="Arial" w:eastAsia="Arial" w:hAnsi="Arial" w:cs="Arial"/>
          <w:b/>
          <w:color w:val="000000"/>
          <w:sz w:val="20"/>
          <w:szCs w:val="20"/>
          <w:lang w:val="es-MX" w:eastAsia="es-MX"/>
        </w:rPr>
      </w:pPr>
      <w:r w:rsidRPr="00C4474C">
        <w:rPr>
          <w:rFonts w:ascii="Arial" w:eastAsia="Arial" w:hAnsi="Arial" w:cs="Arial"/>
          <w:b/>
          <w:color w:val="000000"/>
          <w:sz w:val="20"/>
          <w:szCs w:val="20"/>
          <w:lang w:val="es-MX" w:eastAsia="es-MX"/>
        </w:rPr>
        <w:t>Acerca de la EBC</w:t>
      </w:r>
    </w:p>
    <w:p w:rsidR="0031662D" w:rsidRPr="00C4474C" w:rsidRDefault="0031662D" w:rsidP="0031662D">
      <w:pPr>
        <w:widowControl w:val="0"/>
        <w:shd w:val="clear" w:color="auto" w:fill="FFFFFF"/>
        <w:jc w:val="both"/>
        <w:rPr>
          <w:rFonts w:ascii="Arial" w:eastAsia="Arial" w:hAnsi="Arial" w:cs="Arial"/>
          <w:b/>
          <w:i/>
          <w:color w:val="0070C0"/>
          <w:sz w:val="20"/>
          <w:szCs w:val="20"/>
          <w:highlight w:val="white"/>
          <w:u w:val="single"/>
          <w:lang w:val="es-MX" w:eastAsia="es-MX"/>
        </w:rPr>
      </w:pPr>
      <w:r w:rsidRPr="00C4474C">
        <w:rPr>
          <w:rFonts w:ascii="Arial" w:eastAsia="Arial" w:hAnsi="Arial" w:cs="Arial"/>
          <w:b/>
          <w:color w:val="000000"/>
          <w:sz w:val="20"/>
          <w:szCs w:val="20"/>
          <w:lang w:val="es-MX" w:eastAsia="es-MX"/>
        </w:rPr>
        <w:t xml:space="preserve">Con 88 años de experiencia la Escuela Bancaria y Comercial (EBC), es la </w:t>
      </w:r>
      <w:r w:rsidRPr="00C4474C">
        <w:rPr>
          <w:rFonts w:ascii="Arial" w:eastAsia="Arial" w:hAnsi="Arial" w:cs="Arial"/>
          <w:b/>
          <w:color w:val="000000"/>
          <w:sz w:val="20"/>
          <w:szCs w:val="20"/>
          <w:highlight w:val="white"/>
          <w:lang w:val="es-MX" w:eastAsia="es-MX"/>
        </w:rPr>
        <w:t>Institución de Educación Superior Privada más antigua del país, especializada en Negocios. Cuya visión aspira a que la excelencia educativa sea base de su trabajo</w:t>
      </w:r>
      <w:r w:rsidRPr="00C4474C">
        <w:rPr>
          <w:rFonts w:ascii="Arial" w:eastAsia="Arial" w:hAnsi="Arial" w:cs="Arial"/>
          <w:b/>
          <w:color w:val="000000"/>
          <w:sz w:val="21"/>
          <w:szCs w:val="21"/>
          <w:highlight w:val="white"/>
          <w:lang w:val="es-MX" w:eastAsia="es-MX"/>
        </w:rPr>
        <w:t xml:space="preserve"> </w:t>
      </w:r>
      <w:r w:rsidRPr="00C4474C">
        <w:rPr>
          <w:rFonts w:ascii="Arial" w:eastAsia="Arial" w:hAnsi="Arial" w:cs="Arial"/>
          <w:b/>
          <w:color w:val="000000"/>
          <w:sz w:val="20"/>
          <w:szCs w:val="20"/>
          <w:highlight w:val="white"/>
          <w:lang w:val="es-MX" w:eastAsia="es-MX"/>
        </w:rPr>
        <w:t>buscando el progreso de la comunidad y cuya misión es formar profesionales emprendedores que se distingan en el ámbito de las organizaciones por su saber, por su hacer y por su ser. Para mayor información consulta</w:t>
      </w:r>
      <w:r w:rsidRPr="00C4474C">
        <w:rPr>
          <w:rFonts w:ascii="Arial" w:eastAsia="Arial" w:hAnsi="Arial" w:cs="Arial"/>
          <w:b/>
          <w:i/>
          <w:color w:val="000000"/>
          <w:sz w:val="20"/>
          <w:szCs w:val="20"/>
          <w:highlight w:val="white"/>
          <w:lang w:val="es-MX" w:eastAsia="es-MX"/>
        </w:rPr>
        <w:t xml:space="preserve">: </w:t>
      </w:r>
      <w:hyperlink r:id="rId9">
        <w:r w:rsidRPr="00C4474C">
          <w:rPr>
            <w:rFonts w:ascii="Arial" w:eastAsia="Arial" w:hAnsi="Arial" w:cs="Arial"/>
            <w:b/>
            <w:i/>
            <w:color w:val="0070C0"/>
            <w:sz w:val="20"/>
            <w:szCs w:val="20"/>
            <w:highlight w:val="white"/>
            <w:u w:val="single"/>
            <w:lang w:val="es-MX" w:eastAsia="es-MX"/>
          </w:rPr>
          <w:t>www.ebc.mx</w:t>
        </w:r>
      </w:hyperlink>
    </w:p>
    <w:p w:rsidR="0031662D" w:rsidRPr="00C4474C" w:rsidRDefault="0031662D" w:rsidP="0031662D">
      <w:pPr>
        <w:jc w:val="both"/>
        <w:rPr>
          <w:rFonts w:ascii="Arial" w:eastAsia="Arial" w:hAnsi="Arial" w:cs="Arial"/>
          <w:b/>
          <w:i/>
          <w:color w:val="000000"/>
          <w:sz w:val="20"/>
          <w:szCs w:val="20"/>
          <w:highlight w:val="white"/>
          <w:lang w:val="es-MX" w:eastAsia="es-MX"/>
        </w:rPr>
      </w:pP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Contacto de prensa EBC</w:t>
      </w: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 xml:space="preserve">Carolina Nacif, Coordinadora de Medios de Comunicación </w:t>
      </w:r>
    </w:p>
    <w:p w:rsidR="0031662D" w:rsidRPr="00C4474C" w:rsidRDefault="0079516E" w:rsidP="0031662D">
      <w:pPr>
        <w:jc w:val="both"/>
        <w:rPr>
          <w:rFonts w:ascii="Arial" w:eastAsia="Arial" w:hAnsi="Arial" w:cs="Arial"/>
          <w:color w:val="1155CC"/>
          <w:sz w:val="20"/>
          <w:szCs w:val="20"/>
          <w:highlight w:val="white"/>
          <w:u w:val="single"/>
          <w:lang w:val="es-MX" w:eastAsia="es-MX"/>
        </w:rPr>
      </w:pPr>
      <w:hyperlink r:id="rId10" w:history="1">
        <w:r w:rsidR="0031662D" w:rsidRPr="00C4474C">
          <w:rPr>
            <w:rFonts w:ascii="Arial" w:eastAsia="Arial" w:hAnsi="Arial" w:cs="Arial"/>
            <w:color w:val="0000FF"/>
            <w:sz w:val="20"/>
            <w:szCs w:val="20"/>
            <w:highlight w:val="white"/>
            <w:u w:val="single"/>
            <w:lang w:val="es-MX" w:eastAsia="es-MX"/>
          </w:rPr>
          <w:t>c.nacif@ebc.edu.mx</w:t>
        </w:r>
      </w:hyperlink>
    </w:p>
    <w:p w:rsidR="0031662D" w:rsidRPr="002D544B"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+55 36832400 ext.2057</w:t>
      </w:r>
    </w:p>
    <w:p w:rsidR="002A71D0" w:rsidRPr="002A71D0" w:rsidRDefault="002A71D0" w:rsidP="002A71D0">
      <w:pPr>
        <w:spacing w:after="160" w:line="259" w:lineRule="auto"/>
        <w:jc w:val="both"/>
        <w:rPr>
          <w:rFonts w:ascii="Cambria" w:eastAsia="Calibri" w:hAnsi="Cambria" w:cs="Times New Roman"/>
          <w:sz w:val="22"/>
          <w:szCs w:val="22"/>
          <w:lang w:val="es-MX" w:eastAsia="en-US"/>
        </w:rPr>
      </w:pPr>
    </w:p>
    <w:sectPr w:rsidR="002A71D0" w:rsidRPr="002A71D0"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6E" w:rsidRDefault="0079516E" w:rsidP="00920CAF">
      <w:r>
        <w:separator/>
      </w:r>
    </w:p>
  </w:endnote>
  <w:endnote w:type="continuationSeparator" w:id="0">
    <w:p w:rsidR="0079516E" w:rsidRDefault="0079516E"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6E" w:rsidRDefault="0079516E" w:rsidP="00920CAF">
      <w:r>
        <w:separator/>
      </w:r>
    </w:p>
  </w:footnote>
  <w:footnote w:type="continuationSeparator" w:id="0">
    <w:p w:rsidR="0079516E" w:rsidRDefault="0079516E" w:rsidP="0092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79516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79516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79516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2"/>
  </w:num>
  <w:num w:numId="6">
    <w:abstractNumId w:val="4"/>
  </w:num>
  <w:num w:numId="7">
    <w:abstractNumId w:val="3"/>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F"/>
    <w:rsid w:val="00096712"/>
    <w:rsid w:val="001540D0"/>
    <w:rsid w:val="00193C53"/>
    <w:rsid w:val="001B3802"/>
    <w:rsid w:val="001D7011"/>
    <w:rsid w:val="002A71D0"/>
    <w:rsid w:val="002D544B"/>
    <w:rsid w:val="0031662D"/>
    <w:rsid w:val="00357285"/>
    <w:rsid w:val="003C2A01"/>
    <w:rsid w:val="003E53EA"/>
    <w:rsid w:val="003F7DEE"/>
    <w:rsid w:val="00406E81"/>
    <w:rsid w:val="004215E7"/>
    <w:rsid w:val="00487580"/>
    <w:rsid w:val="00576A93"/>
    <w:rsid w:val="005E66B0"/>
    <w:rsid w:val="0068364A"/>
    <w:rsid w:val="006C1FFF"/>
    <w:rsid w:val="006F426A"/>
    <w:rsid w:val="00701A19"/>
    <w:rsid w:val="007060B4"/>
    <w:rsid w:val="00710046"/>
    <w:rsid w:val="0079516E"/>
    <w:rsid w:val="00916AF0"/>
    <w:rsid w:val="00920CAF"/>
    <w:rsid w:val="009F14B5"/>
    <w:rsid w:val="00A14208"/>
    <w:rsid w:val="00A27AB1"/>
    <w:rsid w:val="00A905A5"/>
    <w:rsid w:val="00B37D37"/>
    <w:rsid w:val="00BA6F00"/>
    <w:rsid w:val="00C4474C"/>
    <w:rsid w:val="00CA02AE"/>
    <w:rsid w:val="00D67433"/>
    <w:rsid w:val="00F06D0B"/>
    <w:rsid w:val="00FC5B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B3F0-B51B-41C1-8E2B-A208DAB0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Carolina Nacif Tajonar</cp:lastModifiedBy>
  <cp:revision>2</cp:revision>
  <cp:lastPrinted>2017-08-01T18:47:00Z</cp:lastPrinted>
  <dcterms:created xsi:type="dcterms:W3CDTF">2017-10-20T18:57:00Z</dcterms:created>
  <dcterms:modified xsi:type="dcterms:W3CDTF">2017-10-20T18:57:00Z</dcterms:modified>
</cp:coreProperties>
</file>