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2C227" wp14:editId="36DF2D5B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94" w:rsidRDefault="00657094" w:rsidP="003A127B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3A127B" w:rsidRPr="00E70455" w:rsidRDefault="00621434" w:rsidP="003A127B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  <w:t>IMPACTO DEL MU</w:t>
                            </w:r>
                            <w:r w:rsidR="004F21E9"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  <w:t xml:space="preserve">NDIAL DE RUSIA, EN LA INDUSTRIA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  <w:t>MEXICANA</w:t>
                            </w:r>
                          </w:p>
                          <w:p w:rsidR="00621434" w:rsidRDefault="000D6617" w:rsidP="000D661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0D661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Según previsiones de la Cervecería Cuauhtémoc-Moctezuma, la producción cervecera nacional, se incrementará de 2%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3% este año, </w:t>
                            </w:r>
                            <w:r w:rsidRPr="000D661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debido a la fiebre mundialista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:rsidR="00621434" w:rsidRPr="00621434" w:rsidRDefault="00621434" w:rsidP="0062143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62143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60% de las playeras que se vendan </w:t>
                            </w:r>
                            <w:r w:rsidR="009463F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durante el mundial</w:t>
                            </w:r>
                            <w:r w:rsidR="00D0552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 de futbol</w:t>
                            </w:r>
                            <w:r w:rsidR="009463F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 xml:space="preserve"> serán “clon”</w:t>
                            </w:r>
                            <w:r w:rsidRPr="0062143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  <w:t>.</w:t>
                            </w:r>
                          </w:p>
                          <w:p w:rsidR="006A5EE3" w:rsidRPr="00621434" w:rsidRDefault="006A5EE3" w:rsidP="00621434">
                            <w:pPr>
                              <w:ind w:left="108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:rsidR="00810FF3" w:rsidRPr="00651EE4" w:rsidRDefault="00621434" w:rsidP="00651EE4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 w:rsidRPr="0062143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s-MX" w:eastAsia="es-MX"/>
                              </w:rPr>
                              <w:t>Por: Miguel Ángel Marina*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val="es-MX" w:eastAsia="es-MX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21434" w:rsidRPr="00621434" w:rsidRDefault="00621434" w:rsidP="00621434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0D6617" w:rsidRDefault="00621434" w:rsidP="00621434">
                            <w:pPr>
                              <w:tabs>
                                <w:tab w:val="left" w:pos="3915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D</w:t>
                            </w:r>
                            <w:r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urante el Mundial 2018, el 70% de los espectadores mexicanos consumirá al menos uno de los productos o promociones relacionadas con el evento, desde playeras, gorras y balones, hasta cervezas, botanas y golosinas alusivos a esta Copa Mundial.</w:t>
                            </w:r>
                          </w:p>
                          <w:p w:rsidR="007B63E9" w:rsidRDefault="000D6617" w:rsidP="00621434">
                            <w:pPr>
                              <w:tabs>
                                <w:tab w:val="left" w:pos="3915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Si</w:t>
                            </w:r>
                            <w:r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un aficionado desea adquirir los artículos oficiales de la selección mexicana en su versión más accesible, se gastaría alrededor de 6 mil 950</w:t>
                            </w:r>
                            <w:r w:rsidR="007B63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pesos, en artículos como:</w:t>
                            </w:r>
                            <w:r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la playera, la gorra, la bufanda, el conjunto deportivo y el balón. </w:t>
                            </w:r>
                          </w:p>
                          <w:p w:rsidR="000D6617" w:rsidRDefault="007B63E9" w:rsidP="00621434">
                            <w:pPr>
                              <w:tabs>
                                <w:tab w:val="left" w:pos="3915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Pero sin lugar a dudas, el</w:t>
                            </w:r>
                            <w:r w:rsidR="00621434"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producto clave</w:t>
                            </w:r>
                            <w:r w:rsidR="000D661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  <w:r w:rsidR="00621434"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será la cerveza, ya que de acuerdo con el estudio sobre Tendencias del </w:t>
                            </w:r>
                            <w:r w:rsidR="000D6617"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Futbol</w:t>
                            </w:r>
                            <w:r w:rsidR="000D661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realizado por De la Riva </w:t>
                            </w:r>
                            <w:proofErr w:type="spellStart"/>
                            <w:r w:rsidR="000D661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Group</w:t>
                            </w:r>
                            <w:proofErr w:type="spellEnd"/>
                            <w:r w:rsidR="00FC465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“S</w:t>
                            </w:r>
                            <w:r w:rsidR="00621434"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i se presencia un partido futbolístico en un bar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o restaurante</w:t>
                            </w:r>
                            <w:r w:rsidR="00621434"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, esta bebida es consumida por 87% de los asistentes y en el hogar por 45% de la audiencia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”.</w:t>
                            </w:r>
                            <w:r w:rsidR="00621434"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</w:p>
                          <w:p w:rsidR="000D6617" w:rsidRDefault="007B63E9" w:rsidP="00621434">
                            <w:pPr>
                              <w:tabs>
                                <w:tab w:val="left" w:pos="3915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Al respecto,</w:t>
                            </w:r>
                            <w:r w:rsidR="00621434"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la Cervecería Cuauhtémoc-Moctezuma,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prevé</w:t>
                            </w:r>
                            <w:r w:rsidR="00621434"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la producción cervecera nacional, estimada en 104 millones de hectolitros por año, se incrementará de 2% a 3% en este año debido a la fiebre mundialista. </w:t>
                            </w:r>
                          </w:p>
                          <w:p w:rsidR="007B63E9" w:rsidRDefault="007B63E9" w:rsidP="007B63E9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No solo el sector alimenticio, sino también las tiendas de autoservicio </w:t>
                            </w:r>
                            <w:r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se verá beneficiado durante el mundial sino también las tiendas de autoservicio</w:t>
                            </w:r>
                            <w:r w:rsidR="004F21E9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ya que sólo</w:t>
                            </w:r>
                            <w:r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las tres principales cadenas de autoservicio en nuestro país: Wal-Mart, Soriana y Chedraui tendrán un incremento en sus ventas de entre 3% y 5%, según estimaciones de Acciones y Valores Banamex Casa de Bolsa.</w:t>
                            </w:r>
                          </w:p>
                          <w:p w:rsidR="007702F5" w:rsidRDefault="004F21E9" w:rsidP="007702F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4F21E9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MX" w:eastAsia="ja-JP"/>
                              </w:rPr>
                              <w:t>¿Y la pequeña empresa?</w:t>
                            </w:r>
                          </w:p>
                          <w:p w:rsidR="007702F5" w:rsidRPr="007702F5" w:rsidRDefault="007702F5" w:rsidP="007702F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</w:t>
                            </w:r>
                            <w:r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n el tema de precio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s es donde los artículos “clon”</w:t>
                            </w:r>
                            <w:r w:rsidRPr="0062143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sacarán la delantera, ya que se estima que del total de playeras que se vendan, el 60%”, las cuales tendrían un precio mucho más accesible que las originales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.</w:t>
                            </w: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A127B" w:rsidRPr="005A306B" w:rsidRDefault="003A127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Campus Querétaro – 10 estudiantes pertenecientes a las licenciaturas en Comercio y Negocios Internacionales, Contaduría Pública y Administración de Empresas.</w:t>
                            </w: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Campus Ciudad de México – 4 estudiantes pertenecientes a las licenciaturas en Comercio y Negocios Internacionales, Mercadotecnia y Administración de Empresas.</w:t>
                            </w: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ab/>
                              <w:t xml:space="preserve">Campus San Luis Potosí – 4 estudiantes pertenecientes a las licenciaturas en Comercio y Negocios Internacionales, Mercadotecnia y Administración de Empresas. </w:t>
                            </w: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ab/>
                              <w:t xml:space="preserve">Campus Tlalnepantla – 10 estudiantes pertenecientes a las licenciaturas en Comercio y Negocios Internacionales, Mercadotecnia y Contaduría Pública. </w:t>
                            </w:r>
                          </w:p>
                          <w:p w:rsidR="005A306B" w:rsidRPr="005A306B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6A5EE3" w:rsidRPr="006A5EE3" w:rsidRDefault="005A306B" w:rsidP="005A306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-</w:t>
                            </w:r>
                            <w:r w:rsidRPr="005A306B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ab/>
                              <w:t>Campus Toluca – 4 estudiantes pertenecientes a las licenciaturas en Comercio y Negocios Internacionales y Administración de Empresas.</w:t>
                            </w:r>
                          </w:p>
                          <w:p w:rsidR="00AF6A9E" w:rsidRPr="00AF6A9E" w:rsidRDefault="00AF6A9E" w:rsidP="006A5EE3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D7242" w:rsidRPr="002D7242" w:rsidRDefault="002D7242" w:rsidP="00AF6A9E">
                            <w:pPr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D7242" w:rsidRPr="002D7242" w:rsidRDefault="002D7242" w:rsidP="002D7242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D7242" w:rsidRPr="002D7242" w:rsidRDefault="002D7242" w:rsidP="002D7242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1B6641" w:rsidRPr="002A71D0" w:rsidRDefault="001B6641" w:rsidP="002D7242">
                            <w:pPr>
                              <w:shd w:val="clear" w:color="auto" w:fill="FFFFFF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2C22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657094" w:rsidRDefault="00657094" w:rsidP="003A127B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3A127B" w:rsidRPr="00E70455" w:rsidRDefault="00621434" w:rsidP="003A127B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  <w:t>IMPACTO DEL MU</w:t>
                      </w:r>
                      <w:r w:rsidR="004F21E9"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  <w:t xml:space="preserve">NDIAL DE RUSIA, EN LA INDUSTRIA </w:t>
                      </w:r>
                      <w:r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  <w:t>MEXICANA</w:t>
                      </w:r>
                    </w:p>
                    <w:p w:rsidR="00621434" w:rsidRDefault="000D6617" w:rsidP="000D661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</w:pPr>
                      <w:r w:rsidRPr="000D6617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Según previsiones de la Cervecería Cuauhtémoc-Moctezuma, la producción cervecera nacional, se incrementará de 2% a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3% este año, </w:t>
                      </w:r>
                      <w:r w:rsidRPr="000D6617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debido a la fiebre mundialista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:rsidR="00621434" w:rsidRPr="00621434" w:rsidRDefault="00621434" w:rsidP="0062143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</w:pPr>
                      <w:r w:rsidRPr="0062143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60% de las playeras que se vendan </w:t>
                      </w:r>
                      <w:r w:rsidR="009463F5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durante el mundial</w:t>
                      </w:r>
                      <w:r w:rsidR="00D0552E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 de futbol</w:t>
                      </w:r>
                      <w:r w:rsidR="009463F5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 xml:space="preserve"> serán “clon”</w:t>
                      </w:r>
                      <w:r w:rsidRPr="00621434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  <w:t>.</w:t>
                      </w:r>
                    </w:p>
                    <w:p w:rsidR="006A5EE3" w:rsidRPr="00621434" w:rsidRDefault="006A5EE3" w:rsidP="00621434">
                      <w:pPr>
                        <w:ind w:left="1080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ja-JP"/>
                        </w:rPr>
                      </w:pPr>
                    </w:p>
                    <w:p w:rsidR="00810FF3" w:rsidRPr="00651EE4" w:rsidRDefault="00621434" w:rsidP="00651EE4">
                      <w:pPr>
                        <w:shd w:val="clear" w:color="auto" w:fill="FFFFFF"/>
                        <w:jc w:val="both"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val="es-MX" w:eastAsia="es-MX"/>
                        </w:rPr>
                      </w:pPr>
                      <w:r w:rsidRPr="0062143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val="es-MX" w:eastAsia="es-MX"/>
                        </w:rPr>
                        <w:t>Por: Miguel Ángel Marina*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val="es-MX" w:eastAsia="es-MX"/>
                        </w:rPr>
                        <w:t xml:space="preserve"> </w:t>
                      </w:r>
                    </w:p>
                    <w:p w:rsidR="00621434" w:rsidRPr="00621434" w:rsidRDefault="00621434" w:rsidP="00621434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0D6617" w:rsidRDefault="00621434" w:rsidP="00621434">
                      <w:pPr>
                        <w:tabs>
                          <w:tab w:val="left" w:pos="3915"/>
                        </w:tabs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D</w:t>
                      </w:r>
                      <w:r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urante el Mundial 2018, el 70% de los espectadores mexicanos consumirá al menos uno de los productos o promociones relacionadas con el evento, desde playeras, gorras y balones, hasta cervezas, botanas y golosinas alusivos a esta Copa Mundial.</w:t>
                      </w:r>
                    </w:p>
                    <w:p w:rsidR="007B63E9" w:rsidRDefault="000D6617" w:rsidP="00621434">
                      <w:pPr>
                        <w:tabs>
                          <w:tab w:val="left" w:pos="3915"/>
                        </w:tabs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Si</w:t>
                      </w:r>
                      <w:r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un aficionado desea adquirir los artículos oficiales de la selección mexicana en su versión más accesible, se gastaría alrededor de 6 mil 950</w:t>
                      </w:r>
                      <w:r w:rsidR="007B63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pesos, en artículos como:</w:t>
                      </w:r>
                      <w:r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la playera, la gorra, la bufanda, el conjunto deportivo y el balón. </w:t>
                      </w:r>
                    </w:p>
                    <w:p w:rsidR="000D6617" w:rsidRDefault="007B63E9" w:rsidP="00621434">
                      <w:pPr>
                        <w:tabs>
                          <w:tab w:val="left" w:pos="3915"/>
                        </w:tabs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Pero sin lugar a dudas, el</w:t>
                      </w:r>
                      <w:r w:rsidR="00621434"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producto clave</w:t>
                      </w:r>
                      <w:r w:rsidR="000D661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  <w:r w:rsidR="00621434"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será la cerveza, ya que de acuerdo con el estudio sobre Tendencias del </w:t>
                      </w:r>
                      <w:r w:rsidR="000D6617"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Futbol</w:t>
                      </w:r>
                      <w:r w:rsidR="000D661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realizado por De la Riva </w:t>
                      </w:r>
                      <w:proofErr w:type="spellStart"/>
                      <w:r w:rsidR="000D661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Group</w:t>
                      </w:r>
                      <w:proofErr w:type="spellEnd"/>
                      <w:r w:rsidR="00FC4655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: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“S</w:t>
                      </w:r>
                      <w:r w:rsidR="00621434"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i se presencia un partido futbolístico en un bar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o restaurante</w:t>
                      </w:r>
                      <w:r w:rsidR="00621434"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, esta bebida es consumida por 87% de los asistentes y en el hogar por 45% de la audiencia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”.</w:t>
                      </w:r>
                      <w:r w:rsidR="00621434"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</w:p>
                    <w:p w:rsidR="000D6617" w:rsidRDefault="007B63E9" w:rsidP="00621434">
                      <w:pPr>
                        <w:tabs>
                          <w:tab w:val="left" w:pos="3915"/>
                        </w:tabs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Al respecto,</w:t>
                      </w:r>
                      <w:r w:rsidR="00621434"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la Cervecería Cuauhtémoc-Moctezuma,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prevé</w:t>
                      </w:r>
                      <w:r w:rsidR="00621434"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la producción cervecera nacional, estimada en 104 millones de hectolitros por año, se incrementará de 2% a 3% en este año debido a la fiebre mundialista. </w:t>
                      </w:r>
                    </w:p>
                    <w:p w:rsidR="007B63E9" w:rsidRDefault="007B63E9" w:rsidP="007B63E9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No solo el sector alimenticio, sino también las tiendas de autoservicio </w:t>
                      </w:r>
                      <w:r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se verá beneficiado durante el mundial sino también las tiendas de autoservicio</w:t>
                      </w:r>
                      <w:r w:rsidR="004F21E9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ya que sólo</w:t>
                      </w:r>
                      <w:r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las tres principales cadenas de autoservicio en nuestro país: Wal-Mart, Soriana y Chedraui tendrán un incremento en sus ventas de entre 3% y 5%, según estimaciones de Acciones y Valores Banamex Casa de Bolsa.</w:t>
                      </w:r>
                    </w:p>
                    <w:p w:rsidR="007702F5" w:rsidRDefault="004F21E9" w:rsidP="007702F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MX" w:eastAsia="ja-JP"/>
                        </w:rPr>
                      </w:pPr>
                      <w:r w:rsidRPr="004F21E9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MX" w:eastAsia="ja-JP"/>
                        </w:rPr>
                        <w:t>¿Y la pequeña empresa?</w:t>
                      </w:r>
                    </w:p>
                    <w:p w:rsidR="007702F5" w:rsidRPr="007702F5" w:rsidRDefault="007702F5" w:rsidP="007702F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</w:t>
                      </w:r>
                      <w:r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n el tema de precio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s es donde los artículos “clon”</w:t>
                      </w:r>
                      <w:r w:rsidRPr="00621434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sacarán la delantera, ya que se estima que del total de playeras que se vendan, el 60%”, las cuales tendrían un precio mucho más accesible que las originales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.</w:t>
                      </w: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A127B" w:rsidRPr="005A306B" w:rsidRDefault="003A127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Campus Querétaro – 10 estudiantes pertenecientes a las licenciaturas en Comercio y Negocios Internacionales, Contaduría Pública y Administración de Empresas.</w:t>
                      </w: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Campus Ciudad de México – 4 estudiantes pertenecientes a las licenciaturas en Comercio y Negocios Internacionales, Mercadotecnia y Administración de Empresas.</w:t>
                      </w: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ab/>
                        <w:t xml:space="preserve">Campus San Luis Potosí – 4 estudiantes pertenecientes a las licenciaturas en Comercio y Negocios Internacionales, Mercadotecnia y Administración de Empresas. </w:t>
                      </w: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ab/>
                        <w:t xml:space="preserve">Campus Tlalnepantla – 10 estudiantes pertenecientes a las licenciaturas en Comercio y Negocios Internacionales, Mercadotecnia y Contaduría Pública. </w:t>
                      </w:r>
                    </w:p>
                    <w:p w:rsidR="005A306B" w:rsidRPr="005A306B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6A5EE3" w:rsidRPr="006A5EE3" w:rsidRDefault="005A306B" w:rsidP="005A306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-</w:t>
                      </w:r>
                      <w:r w:rsidRPr="005A306B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ab/>
                        <w:t>Campus Toluca – 4 estudiantes pertenecientes a las licenciaturas en Comercio y Negocios Internacionales y Administración de Empresas.</w:t>
                      </w:r>
                    </w:p>
                    <w:p w:rsidR="00AF6A9E" w:rsidRPr="00AF6A9E" w:rsidRDefault="00AF6A9E" w:rsidP="006A5EE3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D7242" w:rsidRPr="002D7242" w:rsidRDefault="002D7242" w:rsidP="00AF6A9E">
                      <w:pPr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D7242" w:rsidRPr="002D7242" w:rsidRDefault="002D7242" w:rsidP="002D7242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D7242" w:rsidRPr="002D7242" w:rsidRDefault="002D7242" w:rsidP="002D7242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1B6641" w:rsidRPr="002A71D0" w:rsidRDefault="001B6641" w:rsidP="002D7242">
                      <w:pPr>
                        <w:shd w:val="clear" w:color="auto" w:fill="FFFFFF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DA1C2C" w:rsidRPr="005A30D2" w:rsidRDefault="00920CAF" w:rsidP="00FA100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9E50" wp14:editId="0021183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621434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 xml:space="preserve">   ARTÍCULO DE OPINIÓN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79E50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621434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 xml:space="preserve">   ARTÍCULO DE OPINIÓN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52E" w:rsidRDefault="00D0552E" w:rsidP="00D0552E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</w:p>
    <w:p w:rsidR="007702F5" w:rsidRDefault="007702F5" w:rsidP="00D0552E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</w:p>
    <w:p w:rsidR="00D0552E" w:rsidRPr="007702F5" w:rsidRDefault="007702F5" w:rsidP="007702F5">
      <w:pPr>
        <w:tabs>
          <w:tab w:val="left" w:pos="3915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  <w:r w:rsidRPr="00070C55">
        <w:rPr>
          <w:rFonts w:ascii="Arial" w:eastAsia="Calibri" w:hAnsi="Arial" w:cs="Arial"/>
          <w:sz w:val="22"/>
          <w:szCs w:val="22"/>
          <w:lang w:val="es-MX" w:eastAsia="ja-JP"/>
        </w:rPr>
        <w:t xml:space="preserve">Debido a </w:t>
      </w:r>
      <w:r>
        <w:rPr>
          <w:rFonts w:ascii="Arial" w:eastAsia="Calibri" w:hAnsi="Arial" w:cs="Arial"/>
          <w:sz w:val="22"/>
          <w:szCs w:val="22"/>
          <w:lang w:val="es-MX" w:eastAsia="ja-JP"/>
        </w:rPr>
        <w:t>que en el país</w:t>
      </w:r>
      <w:r w:rsidRPr="00070C55">
        <w:rPr>
          <w:rFonts w:ascii="Arial" w:eastAsia="Calibri" w:hAnsi="Arial" w:cs="Arial"/>
          <w:sz w:val="22"/>
          <w:szCs w:val="22"/>
          <w:lang w:val="es-MX" w:eastAsia="ja-JP"/>
        </w:rPr>
        <w:t xml:space="preserve"> el 70% de la población trabaja de manera informal, esta situación podría volverse un área de </w:t>
      </w:r>
      <w:r>
        <w:rPr>
          <w:rFonts w:ascii="Arial" w:eastAsia="Calibri" w:hAnsi="Arial" w:cs="Arial"/>
          <w:sz w:val="22"/>
          <w:szCs w:val="22"/>
          <w:lang w:val="es-MX" w:eastAsia="ja-JP"/>
        </w:rPr>
        <w:t>oportunidad p</w:t>
      </w:r>
      <w:r w:rsidR="00FC4655">
        <w:rPr>
          <w:rFonts w:ascii="Arial" w:eastAsia="Calibri" w:hAnsi="Arial" w:cs="Arial"/>
          <w:sz w:val="22"/>
          <w:szCs w:val="22"/>
          <w:lang w:val="es-MX" w:eastAsia="ja-JP"/>
        </w:rPr>
        <w:t xml:space="preserve">ara la </w:t>
      </w:r>
      <w:proofErr w:type="spellStart"/>
      <w:r w:rsidR="00FC4655">
        <w:rPr>
          <w:rFonts w:ascii="Arial" w:eastAsia="Calibri" w:hAnsi="Arial" w:cs="Arial"/>
          <w:sz w:val="22"/>
          <w:szCs w:val="22"/>
          <w:lang w:val="es-MX" w:eastAsia="ja-JP"/>
        </w:rPr>
        <w:t>PyMes</w:t>
      </w:r>
      <w:proofErr w:type="spellEnd"/>
      <w:r w:rsidR="00FC4655">
        <w:rPr>
          <w:rFonts w:ascii="Arial" w:eastAsia="Calibri" w:hAnsi="Arial" w:cs="Arial"/>
          <w:sz w:val="22"/>
          <w:szCs w:val="22"/>
          <w:lang w:val="es-MX" w:eastAsia="ja-JP"/>
        </w:rPr>
        <w:t xml:space="preserve">, considerando que, </w:t>
      </w:r>
      <w:r w:rsidRPr="00070C55">
        <w:rPr>
          <w:rFonts w:ascii="Arial" w:eastAsia="Calibri" w:hAnsi="Arial" w:cs="Arial"/>
          <w:sz w:val="22"/>
          <w:szCs w:val="22"/>
          <w:lang w:val="es-MX" w:eastAsia="ja-JP"/>
        </w:rPr>
        <w:t>el poder adquisitivo de la mayoría de las personas no daría para compra</w:t>
      </w:r>
      <w:r>
        <w:rPr>
          <w:rFonts w:ascii="Arial" w:eastAsia="Calibri" w:hAnsi="Arial" w:cs="Arial"/>
          <w:sz w:val="22"/>
          <w:szCs w:val="22"/>
          <w:lang w:val="es-MX" w:eastAsia="ja-JP"/>
        </w:rPr>
        <w:t>r</w:t>
      </w:r>
      <w:r w:rsidRPr="00070C55">
        <w:rPr>
          <w:rFonts w:ascii="Arial" w:eastAsia="Calibri" w:hAnsi="Arial" w:cs="Arial"/>
          <w:sz w:val="22"/>
          <w:szCs w:val="22"/>
          <w:lang w:val="es-MX" w:eastAsia="ja-JP"/>
        </w:rPr>
        <w:t xml:space="preserve"> una p</w:t>
      </w:r>
      <w:r>
        <w:rPr>
          <w:rFonts w:ascii="Arial" w:eastAsia="Calibri" w:hAnsi="Arial" w:cs="Arial"/>
          <w:sz w:val="22"/>
          <w:szCs w:val="22"/>
          <w:lang w:val="es-MX" w:eastAsia="ja-JP"/>
        </w:rPr>
        <w:t>layera original de $1,700 pesos.</w:t>
      </w:r>
    </w:p>
    <w:p w:rsidR="007B63E9" w:rsidRDefault="004F21E9" w:rsidP="00E65C3A">
      <w:pPr>
        <w:tabs>
          <w:tab w:val="left" w:pos="3915"/>
        </w:tabs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63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El estu</w:t>
      </w:r>
      <w:r w:rsidR="009463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dio de </w:t>
      </w:r>
      <w:proofErr w:type="spellStart"/>
      <w:r w:rsidR="009463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</w:t>
      </w:r>
      <w:proofErr w:type="spellEnd"/>
      <w:r w:rsidR="009463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la Riva </w:t>
      </w:r>
      <w:proofErr w:type="spellStart"/>
      <w:r w:rsidR="009463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Group</w:t>
      </w:r>
      <w:proofErr w:type="spellEnd"/>
      <w:r w:rsidR="009463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destaca</w:t>
      </w:r>
      <w:r w:rsidRPr="009463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que los aficionados pagarían un sobreprecio de 25 a 50% en la adquisición de productos inspirados en el Mundial, la Selección Mexicana, los nombres de los astros del futbol o en recuerdos de los equipos más destacados.</w:t>
      </w:r>
    </w:p>
    <w:p w:rsidR="009463F5" w:rsidRPr="00621434" w:rsidRDefault="00D0552E" w:rsidP="00E65C3A">
      <w:pPr>
        <w:tabs>
          <w:tab w:val="left" w:pos="3915"/>
        </w:tabs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D055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El futbol moviliza multitudes, l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 que conlleva un impacto económico</w:t>
      </w:r>
      <w:r w:rsidRPr="00D055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que la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 empresas mexicanas –en particular Pyme-</w:t>
      </w:r>
      <w:r w:rsidR="005E46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como</w:t>
      </w:r>
      <w:r w:rsidRPr="00D055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siempre</w:t>
      </w:r>
      <w:r w:rsidR="005E46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capitali</w:t>
      </w:r>
      <w:r w:rsidR="007702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zan en oportunidades de negocio</w:t>
      </w:r>
      <w:r w:rsidRPr="00D055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621434" w:rsidRPr="009463F5" w:rsidRDefault="00621434" w:rsidP="00621434">
      <w:pPr>
        <w:shd w:val="clear" w:color="auto" w:fill="FFFFFF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val="es-MX" w:eastAsia="es-MX"/>
        </w:rPr>
      </w:pPr>
      <w:r w:rsidRPr="009463F5"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  <w:t>*</w:t>
      </w:r>
      <w:r w:rsidRPr="009463F5">
        <w:rPr>
          <w:rFonts w:ascii="Arial" w:eastAsia="Times New Roman" w:hAnsi="Arial" w:cs="Arial"/>
          <w:i/>
          <w:color w:val="000000" w:themeColor="text1"/>
          <w:sz w:val="20"/>
          <w:szCs w:val="20"/>
          <w:lang w:val="es-MX" w:eastAsia="es-MX"/>
        </w:rPr>
        <w:t>Catedrático EBC Campus Chiapas</w:t>
      </w:r>
    </w:p>
    <w:p w:rsidR="003A127B" w:rsidRPr="009463F5" w:rsidRDefault="003A127B" w:rsidP="000D4384">
      <w:pPr>
        <w:shd w:val="clear" w:color="auto" w:fill="FFFFFF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MX"/>
        </w:rPr>
      </w:pPr>
    </w:p>
    <w:p w:rsidR="00621434" w:rsidRPr="00621434" w:rsidRDefault="00621434" w:rsidP="00621434">
      <w:pPr>
        <w:shd w:val="clear" w:color="auto" w:fill="FFFFFF"/>
        <w:jc w:val="center"/>
        <w:rPr>
          <w:rFonts w:ascii="Arial" w:eastAsia="Times New Roman" w:hAnsi="Arial" w:cs="Arial"/>
          <w:i/>
          <w:sz w:val="22"/>
          <w:szCs w:val="22"/>
          <w:lang w:val="es-ES" w:eastAsia="es-MX"/>
        </w:rPr>
      </w:pPr>
      <w:r>
        <w:rPr>
          <w:rFonts w:ascii="Arial" w:eastAsia="Times New Roman" w:hAnsi="Arial" w:cs="Arial"/>
          <w:i/>
          <w:sz w:val="22"/>
          <w:szCs w:val="22"/>
          <w:lang w:val="es-ES" w:eastAsia="es-MX"/>
        </w:rPr>
        <w:t>###</w:t>
      </w:r>
    </w:p>
    <w:p w:rsidR="00E70455" w:rsidRPr="005A30D2" w:rsidRDefault="00E70455" w:rsidP="000D4384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es-ES" w:eastAsia="es-MX"/>
        </w:rPr>
      </w:pPr>
    </w:p>
    <w:p w:rsidR="00A905A5" w:rsidRPr="00C4474C" w:rsidRDefault="00A905A5" w:rsidP="00A905A5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A905A5" w:rsidRPr="00C4474C" w:rsidRDefault="00287138" w:rsidP="00A905A5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Con 89</w:t>
      </w:r>
      <w:r w:rsidR="00A905A5"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 xml:space="preserve"> años de experiencia la Escuela Bancaria y Comercial (EBC), es la </w:t>
      </w:r>
      <w:r w:rsidR="00A905A5"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</w:t>
      </w:r>
      <w:r w:rsidR="00A905A5" w:rsidRPr="00C4474C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s-MX" w:eastAsia="es-MX"/>
        </w:rPr>
        <w:t xml:space="preserve"> </w:t>
      </w:r>
      <w:r w:rsidR="00A905A5"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="00A905A5" w:rsidRPr="00C4474C"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  <w:t xml:space="preserve">: </w:t>
      </w:r>
      <w:hyperlink r:id="rId9">
        <w:r w:rsidR="00A905A5" w:rsidRPr="00C4474C">
          <w:rPr>
            <w:rFonts w:ascii="Arial" w:eastAsia="Arial" w:hAnsi="Arial" w:cs="Arial"/>
            <w:b/>
            <w:i/>
            <w:color w:val="0070C0"/>
            <w:sz w:val="20"/>
            <w:szCs w:val="20"/>
            <w:highlight w:val="white"/>
            <w:u w:val="single"/>
            <w:lang w:val="es-MX" w:eastAsia="es-MX"/>
          </w:rPr>
          <w:t>www.ebc.mx</w:t>
        </w:r>
      </w:hyperlink>
    </w:p>
    <w:p w:rsidR="00A905A5" w:rsidRPr="00C4474C" w:rsidRDefault="00A905A5" w:rsidP="00A905A5">
      <w:pPr>
        <w:jc w:val="both"/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</w:pPr>
    </w:p>
    <w:p w:rsidR="00A905A5" w:rsidRPr="00C4474C" w:rsidRDefault="00A905A5" w:rsidP="00A905A5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A905A5" w:rsidRPr="00C4474C" w:rsidRDefault="00A905A5" w:rsidP="00A905A5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 xml:space="preserve">Carolina Nacif, Coordinadora de Medios de Comunicación </w:t>
      </w:r>
    </w:p>
    <w:p w:rsidR="00A905A5" w:rsidRPr="00C4474C" w:rsidRDefault="00C10CAD" w:rsidP="00A905A5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A905A5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A905A5" w:rsidRPr="002D544B" w:rsidRDefault="00A905A5" w:rsidP="002D544B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sectPr w:rsidR="00A905A5" w:rsidRPr="002D544B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AD" w:rsidRDefault="00C10CAD" w:rsidP="00920CAF">
      <w:r>
        <w:separator/>
      </w:r>
    </w:p>
  </w:endnote>
  <w:endnote w:type="continuationSeparator" w:id="0">
    <w:p w:rsidR="00C10CAD" w:rsidRDefault="00C10CAD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AD" w:rsidRDefault="00C10CAD" w:rsidP="00920CAF">
      <w:r>
        <w:separator/>
      </w:r>
    </w:p>
  </w:footnote>
  <w:footnote w:type="continuationSeparator" w:id="0">
    <w:p w:rsidR="00C10CAD" w:rsidRDefault="00C10CAD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C10CA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C10CA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C10CA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141"/>
    <w:multiLevelType w:val="hybridMultilevel"/>
    <w:tmpl w:val="1794E008"/>
    <w:lvl w:ilvl="0" w:tplc="3FFE7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E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3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1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8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2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87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6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D371F"/>
    <w:multiLevelType w:val="hybridMultilevel"/>
    <w:tmpl w:val="72D4B9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E451D"/>
    <w:multiLevelType w:val="hybridMultilevel"/>
    <w:tmpl w:val="6EC4C4A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F419AB"/>
    <w:multiLevelType w:val="hybridMultilevel"/>
    <w:tmpl w:val="D5F46F0A"/>
    <w:lvl w:ilvl="0" w:tplc="40AA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C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84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8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A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05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88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2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72E9"/>
    <w:multiLevelType w:val="hybridMultilevel"/>
    <w:tmpl w:val="44200B52"/>
    <w:lvl w:ilvl="0" w:tplc="C812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0B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2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ED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A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E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E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E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C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9F46DA"/>
    <w:multiLevelType w:val="hybridMultilevel"/>
    <w:tmpl w:val="D9D420B8"/>
    <w:lvl w:ilvl="0" w:tplc="A536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A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5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61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C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81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8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82FA2"/>
    <w:multiLevelType w:val="hybridMultilevel"/>
    <w:tmpl w:val="3DCE5EF0"/>
    <w:lvl w:ilvl="0" w:tplc="8A6E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A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4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8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6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0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D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C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70C55"/>
    <w:rsid w:val="00096712"/>
    <w:rsid w:val="000A2B57"/>
    <w:rsid w:val="000A3C2D"/>
    <w:rsid w:val="000D4384"/>
    <w:rsid w:val="000D6617"/>
    <w:rsid w:val="0014137C"/>
    <w:rsid w:val="00142975"/>
    <w:rsid w:val="001717D2"/>
    <w:rsid w:val="00173379"/>
    <w:rsid w:val="001B3802"/>
    <w:rsid w:val="001B6641"/>
    <w:rsid w:val="002279C5"/>
    <w:rsid w:val="00235F9A"/>
    <w:rsid w:val="002416C4"/>
    <w:rsid w:val="00287138"/>
    <w:rsid w:val="002923EA"/>
    <w:rsid w:val="002A71D0"/>
    <w:rsid w:val="002C6FAB"/>
    <w:rsid w:val="002D544B"/>
    <w:rsid w:val="002D7242"/>
    <w:rsid w:val="002E406D"/>
    <w:rsid w:val="00312549"/>
    <w:rsid w:val="00322D75"/>
    <w:rsid w:val="0032516F"/>
    <w:rsid w:val="00326884"/>
    <w:rsid w:val="00352C4A"/>
    <w:rsid w:val="00357285"/>
    <w:rsid w:val="00370AE9"/>
    <w:rsid w:val="003A127B"/>
    <w:rsid w:val="003B7759"/>
    <w:rsid w:val="003C2A01"/>
    <w:rsid w:val="003C72F0"/>
    <w:rsid w:val="003F71B8"/>
    <w:rsid w:val="00406E81"/>
    <w:rsid w:val="0041340E"/>
    <w:rsid w:val="00440CF2"/>
    <w:rsid w:val="00483B2A"/>
    <w:rsid w:val="004C053A"/>
    <w:rsid w:val="004D34D3"/>
    <w:rsid w:val="004F21E9"/>
    <w:rsid w:val="00501945"/>
    <w:rsid w:val="00511135"/>
    <w:rsid w:val="00525B4A"/>
    <w:rsid w:val="00557D5E"/>
    <w:rsid w:val="0057005D"/>
    <w:rsid w:val="0058266D"/>
    <w:rsid w:val="00591947"/>
    <w:rsid w:val="005A306B"/>
    <w:rsid w:val="005A30D2"/>
    <w:rsid w:val="005E46D2"/>
    <w:rsid w:val="005F3806"/>
    <w:rsid w:val="005F6365"/>
    <w:rsid w:val="00606E8E"/>
    <w:rsid w:val="00615356"/>
    <w:rsid w:val="00621434"/>
    <w:rsid w:val="00635D23"/>
    <w:rsid w:val="006460FD"/>
    <w:rsid w:val="00651EE4"/>
    <w:rsid w:val="00657094"/>
    <w:rsid w:val="00682925"/>
    <w:rsid w:val="006A5EE3"/>
    <w:rsid w:val="006C6547"/>
    <w:rsid w:val="006E1102"/>
    <w:rsid w:val="006F426A"/>
    <w:rsid w:val="00727AA2"/>
    <w:rsid w:val="00755237"/>
    <w:rsid w:val="00755F2E"/>
    <w:rsid w:val="007702F5"/>
    <w:rsid w:val="00771448"/>
    <w:rsid w:val="0078677D"/>
    <w:rsid w:val="007871D6"/>
    <w:rsid w:val="007B0CF9"/>
    <w:rsid w:val="007B63E9"/>
    <w:rsid w:val="007C6BF8"/>
    <w:rsid w:val="007E4754"/>
    <w:rsid w:val="00801376"/>
    <w:rsid w:val="00810FF3"/>
    <w:rsid w:val="00833EC2"/>
    <w:rsid w:val="00837751"/>
    <w:rsid w:val="008902D6"/>
    <w:rsid w:val="00895DD1"/>
    <w:rsid w:val="008B3C05"/>
    <w:rsid w:val="008C20D1"/>
    <w:rsid w:val="008E0B0B"/>
    <w:rsid w:val="00920CAF"/>
    <w:rsid w:val="009463F5"/>
    <w:rsid w:val="009707D4"/>
    <w:rsid w:val="009C7555"/>
    <w:rsid w:val="009D3D08"/>
    <w:rsid w:val="00A13418"/>
    <w:rsid w:val="00A14208"/>
    <w:rsid w:val="00A86B42"/>
    <w:rsid w:val="00A905A5"/>
    <w:rsid w:val="00A908F4"/>
    <w:rsid w:val="00AA3D79"/>
    <w:rsid w:val="00AB4C3F"/>
    <w:rsid w:val="00AC75E9"/>
    <w:rsid w:val="00AE5B9B"/>
    <w:rsid w:val="00AF6A9E"/>
    <w:rsid w:val="00B03419"/>
    <w:rsid w:val="00B10F22"/>
    <w:rsid w:val="00B350DB"/>
    <w:rsid w:val="00B54D39"/>
    <w:rsid w:val="00B84CAC"/>
    <w:rsid w:val="00B9438D"/>
    <w:rsid w:val="00BC6983"/>
    <w:rsid w:val="00BE3B01"/>
    <w:rsid w:val="00C0753C"/>
    <w:rsid w:val="00C10CAD"/>
    <w:rsid w:val="00C4474C"/>
    <w:rsid w:val="00C80B84"/>
    <w:rsid w:val="00CA6B12"/>
    <w:rsid w:val="00CC418E"/>
    <w:rsid w:val="00CD6EDE"/>
    <w:rsid w:val="00CF5324"/>
    <w:rsid w:val="00D0552E"/>
    <w:rsid w:val="00D34723"/>
    <w:rsid w:val="00D80E50"/>
    <w:rsid w:val="00DA1C2C"/>
    <w:rsid w:val="00DA28DF"/>
    <w:rsid w:val="00DD7492"/>
    <w:rsid w:val="00DE23AC"/>
    <w:rsid w:val="00DE30B6"/>
    <w:rsid w:val="00E141CC"/>
    <w:rsid w:val="00E22CC9"/>
    <w:rsid w:val="00E265A6"/>
    <w:rsid w:val="00E40461"/>
    <w:rsid w:val="00E65C3A"/>
    <w:rsid w:val="00E70455"/>
    <w:rsid w:val="00E74772"/>
    <w:rsid w:val="00E83A9B"/>
    <w:rsid w:val="00EC2FA4"/>
    <w:rsid w:val="00ED6DED"/>
    <w:rsid w:val="00EF489A"/>
    <w:rsid w:val="00F1337C"/>
    <w:rsid w:val="00F337FD"/>
    <w:rsid w:val="00F40E0A"/>
    <w:rsid w:val="00F4602F"/>
    <w:rsid w:val="00F7558A"/>
    <w:rsid w:val="00F80B25"/>
    <w:rsid w:val="00FA1004"/>
    <w:rsid w:val="00FB3147"/>
    <w:rsid w:val="00FB6130"/>
    <w:rsid w:val="00FC4655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D80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2D6"/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59"/>
    <w:rsid w:val="0023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9959D-EDE8-4C42-BCDE-9AAF14DD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2</cp:revision>
  <cp:lastPrinted>2018-01-18T01:52:00Z</cp:lastPrinted>
  <dcterms:created xsi:type="dcterms:W3CDTF">2018-07-17T16:50:00Z</dcterms:created>
  <dcterms:modified xsi:type="dcterms:W3CDTF">2018-07-17T16:50:00Z</dcterms:modified>
</cp:coreProperties>
</file>